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DE8" w:rsidRPr="00EB607D" w:rsidRDefault="000C1DE8" w:rsidP="000C1DE8">
      <w:pPr>
        <w:rPr>
          <w:rFonts w:cstheme="minorHAnsi"/>
        </w:rPr>
      </w:pPr>
      <w:bookmarkStart w:id="0" w:name="_GoBack"/>
      <w:bookmarkEnd w:id="0"/>
      <w:r w:rsidRPr="00EB607D">
        <w:rPr>
          <w:rFonts w:cstheme="minorHAnsi"/>
        </w:rPr>
        <w:tab/>
      </w:r>
      <w:r w:rsidRPr="00EB607D">
        <w:rPr>
          <w:rFonts w:cstheme="minorHAnsi"/>
        </w:rPr>
        <w:tab/>
      </w:r>
      <w:r w:rsidRPr="00EB607D">
        <w:rPr>
          <w:rFonts w:cstheme="minorHAnsi"/>
        </w:rPr>
        <w:tab/>
      </w:r>
      <w:r w:rsidRPr="00EB607D">
        <w:rPr>
          <w:rFonts w:cstheme="minorHAnsi"/>
        </w:rPr>
        <w:tab/>
      </w:r>
      <w:r w:rsidRPr="00EB607D">
        <w:rPr>
          <w:rFonts w:cstheme="minorHAnsi"/>
        </w:rPr>
        <w:tab/>
      </w:r>
      <w:r w:rsidRPr="00EB607D">
        <w:rPr>
          <w:rFonts w:cstheme="minorHAnsi"/>
        </w:rPr>
        <w:tab/>
      </w:r>
      <w:r w:rsidRPr="00EB607D">
        <w:rPr>
          <w:rFonts w:cstheme="minorHAnsi"/>
        </w:rPr>
        <w:tab/>
      </w:r>
      <w:r w:rsidRPr="00EB607D">
        <w:rPr>
          <w:rFonts w:cstheme="minorHAnsi"/>
        </w:rPr>
        <w:tab/>
      </w:r>
    </w:p>
    <w:p w:rsidR="000C1DE8" w:rsidRPr="00EB607D" w:rsidRDefault="000C1DE8" w:rsidP="000C1DE8">
      <w:pPr>
        <w:rPr>
          <w:rFonts w:cstheme="minorHAnsi"/>
        </w:rPr>
      </w:pPr>
    </w:p>
    <w:p w:rsidR="000C1DE8" w:rsidRPr="00EB607D" w:rsidRDefault="006A784D" w:rsidP="000C1DE8">
      <w:pPr>
        <w:rPr>
          <w:rFonts w:cstheme="minorHAnsi"/>
          <w:b/>
        </w:rPr>
      </w:pPr>
      <w:r>
        <w:rPr>
          <w:rFonts w:cstheme="minorHAnsi"/>
          <w:b/>
        </w:rPr>
        <w:t>12</w:t>
      </w:r>
      <w:r w:rsidR="000C1DE8" w:rsidRPr="00EB607D">
        <w:rPr>
          <w:rFonts w:cstheme="minorHAnsi"/>
          <w:b/>
        </w:rPr>
        <w:t xml:space="preserve"> </w:t>
      </w:r>
      <w:r w:rsidR="00C11897">
        <w:rPr>
          <w:rFonts w:cstheme="minorHAnsi"/>
          <w:b/>
        </w:rPr>
        <w:t>February</w:t>
      </w:r>
      <w:r w:rsidR="000C1DE8" w:rsidRPr="00EB607D">
        <w:rPr>
          <w:rFonts w:cstheme="minorHAnsi"/>
          <w:b/>
        </w:rPr>
        <w:t xml:space="preserve"> 2016</w:t>
      </w:r>
    </w:p>
    <w:p w:rsidR="000C1DE8" w:rsidRPr="00EB607D" w:rsidRDefault="000C1DE8" w:rsidP="000C1DE8">
      <w:pPr>
        <w:rPr>
          <w:rFonts w:cstheme="minorHAnsi"/>
          <w:b/>
          <w:sz w:val="28"/>
          <w:szCs w:val="28"/>
        </w:rPr>
      </w:pPr>
    </w:p>
    <w:p w:rsidR="000C1DE8" w:rsidRPr="00EB607D" w:rsidRDefault="000C1DE8" w:rsidP="000C1DE8">
      <w:pPr>
        <w:rPr>
          <w:rFonts w:cstheme="minorHAnsi"/>
          <w:b/>
          <w:sz w:val="28"/>
          <w:szCs w:val="28"/>
        </w:rPr>
      </w:pPr>
    </w:p>
    <w:p w:rsidR="000C1DE8" w:rsidRPr="00EB607D" w:rsidRDefault="000C1DE8" w:rsidP="000C1DE8">
      <w:pPr>
        <w:rPr>
          <w:rFonts w:cstheme="minorHAnsi"/>
          <w:b/>
          <w:sz w:val="28"/>
          <w:szCs w:val="28"/>
        </w:rPr>
      </w:pPr>
    </w:p>
    <w:p w:rsidR="000C1DE8" w:rsidRPr="00EB607D" w:rsidRDefault="000C1DE8" w:rsidP="000C1DE8">
      <w:pPr>
        <w:jc w:val="center"/>
        <w:rPr>
          <w:rFonts w:cstheme="minorHAnsi"/>
          <w:b/>
          <w:sz w:val="36"/>
          <w:szCs w:val="36"/>
        </w:rPr>
      </w:pPr>
      <w:r w:rsidRPr="00EB607D">
        <w:rPr>
          <w:rFonts w:cstheme="minorHAnsi"/>
          <w:b/>
          <w:sz w:val="36"/>
          <w:szCs w:val="36"/>
        </w:rPr>
        <w:t xml:space="preserve">Vision Australia Submission </w:t>
      </w:r>
      <w:r w:rsidR="007A48AB" w:rsidRPr="00EB607D">
        <w:rPr>
          <w:rFonts w:cstheme="minorHAnsi"/>
          <w:b/>
          <w:sz w:val="36"/>
          <w:szCs w:val="36"/>
        </w:rPr>
        <w:t>on the Exposure Draft of Copyright Amendment (Disability and Other Provisions) Bill 2016</w:t>
      </w:r>
      <w:r w:rsidRPr="00EB607D">
        <w:rPr>
          <w:rFonts w:cstheme="minorHAnsi"/>
          <w:b/>
          <w:sz w:val="36"/>
          <w:szCs w:val="36"/>
        </w:rPr>
        <w:br/>
      </w:r>
    </w:p>
    <w:p w:rsidR="000C1DE8" w:rsidRPr="00EB607D" w:rsidRDefault="000C1DE8" w:rsidP="000C1DE8">
      <w:pPr>
        <w:rPr>
          <w:rFonts w:cstheme="minorHAnsi"/>
          <w:b/>
          <w:sz w:val="28"/>
          <w:szCs w:val="28"/>
        </w:rPr>
      </w:pPr>
    </w:p>
    <w:p w:rsidR="000C1DE8" w:rsidRPr="00EB607D" w:rsidRDefault="000C1DE8" w:rsidP="000C1DE8">
      <w:pPr>
        <w:rPr>
          <w:rFonts w:cstheme="minorHAnsi"/>
          <w:b/>
          <w:sz w:val="24"/>
          <w:szCs w:val="24"/>
        </w:rPr>
      </w:pPr>
      <w:r w:rsidRPr="00EB607D">
        <w:rPr>
          <w:rFonts w:cstheme="minorHAnsi"/>
          <w:b/>
        </w:rPr>
        <w:t>Email:</w:t>
      </w:r>
      <w:r w:rsidRPr="00EB607D">
        <w:rPr>
          <w:rFonts w:cstheme="minorHAnsi"/>
          <w:b/>
        </w:rPr>
        <w:tab/>
      </w:r>
      <w:r w:rsidRPr="00EB607D">
        <w:rPr>
          <w:rFonts w:cstheme="minorHAnsi"/>
          <w:b/>
        </w:rPr>
        <w:tab/>
      </w:r>
      <w:r w:rsidRPr="00EB607D">
        <w:rPr>
          <w:rFonts w:cstheme="minorHAnsi"/>
          <w:b/>
        </w:rPr>
        <w:tab/>
      </w:r>
      <w:r w:rsidR="00E013B5">
        <w:rPr>
          <w:rFonts w:cstheme="minorHAnsi"/>
          <w:b/>
        </w:rPr>
        <w:tab/>
      </w:r>
      <w:r w:rsidRPr="00EB607D">
        <w:rPr>
          <w:rFonts w:cstheme="minorHAnsi"/>
          <w:b/>
        </w:rPr>
        <w:t xml:space="preserve">copyright@communications.gov.au </w:t>
      </w:r>
      <w:r w:rsidRPr="00EB607D">
        <w:rPr>
          <w:rFonts w:cstheme="minorHAnsi"/>
          <w:b/>
        </w:rPr>
        <w:tab/>
      </w:r>
      <w:r w:rsidRPr="00EB607D">
        <w:rPr>
          <w:rFonts w:cstheme="minorHAnsi"/>
          <w:b/>
        </w:rPr>
        <w:tab/>
      </w:r>
      <w:r w:rsidRPr="00EB607D">
        <w:rPr>
          <w:rFonts w:cstheme="minorHAnsi"/>
          <w:b/>
        </w:rPr>
        <w:tab/>
      </w:r>
    </w:p>
    <w:p w:rsidR="000C1DE8" w:rsidRPr="00EB607D" w:rsidRDefault="000C1DE8" w:rsidP="000C1DE8">
      <w:pPr>
        <w:rPr>
          <w:rFonts w:cstheme="minorHAnsi"/>
          <w:b/>
        </w:rPr>
      </w:pPr>
    </w:p>
    <w:p w:rsidR="000C1DE8" w:rsidRPr="00EB607D" w:rsidRDefault="000C1DE8" w:rsidP="000C1DE8">
      <w:pPr>
        <w:rPr>
          <w:rFonts w:cstheme="minorHAnsi"/>
          <w:b/>
        </w:rPr>
      </w:pPr>
      <w:r w:rsidRPr="00EB607D">
        <w:rPr>
          <w:rFonts w:cstheme="minorHAnsi"/>
          <w:b/>
        </w:rPr>
        <w:t>Submission to:</w:t>
      </w:r>
      <w:r w:rsidRPr="00EB607D">
        <w:rPr>
          <w:rFonts w:cstheme="minorHAnsi"/>
          <w:b/>
        </w:rPr>
        <w:tab/>
      </w:r>
      <w:r w:rsidR="00E013B5">
        <w:rPr>
          <w:rFonts w:cstheme="minorHAnsi"/>
          <w:b/>
        </w:rPr>
        <w:tab/>
      </w:r>
      <w:r w:rsidR="00E013B5">
        <w:rPr>
          <w:rFonts w:cstheme="minorHAnsi"/>
          <w:b/>
        </w:rPr>
        <w:tab/>
      </w:r>
      <w:r w:rsidRPr="00EB607D">
        <w:rPr>
          <w:rFonts w:cstheme="minorHAnsi"/>
          <w:b/>
        </w:rPr>
        <w:t>Copyright Law and Policy Section</w:t>
      </w:r>
    </w:p>
    <w:p w:rsidR="000C1DE8" w:rsidRPr="00EB607D" w:rsidRDefault="000C1DE8" w:rsidP="00E013B5">
      <w:pPr>
        <w:ind w:left="2880"/>
        <w:rPr>
          <w:rFonts w:cstheme="minorHAnsi"/>
          <w:b/>
        </w:rPr>
      </w:pPr>
      <w:r w:rsidRPr="00EB607D">
        <w:rPr>
          <w:rFonts w:cstheme="minorHAnsi"/>
          <w:b/>
        </w:rPr>
        <w:t>Department of Communications and the Arts</w:t>
      </w:r>
    </w:p>
    <w:p w:rsidR="000C1DE8" w:rsidRPr="00EB607D" w:rsidRDefault="000C1DE8" w:rsidP="00E013B5">
      <w:pPr>
        <w:ind w:left="2160" w:firstLine="720"/>
        <w:rPr>
          <w:rFonts w:cstheme="minorHAnsi"/>
          <w:b/>
        </w:rPr>
      </w:pPr>
      <w:r w:rsidRPr="00EB607D">
        <w:rPr>
          <w:rFonts w:cstheme="minorHAnsi"/>
          <w:b/>
        </w:rPr>
        <w:t>GPO Box 2154</w:t>
      </w:r>
    </w:p>
    <w:p w:rsidR="000C1DE8" w:rsidRPr="00EB607D" w:rsidRDefault="000C1DE8" w:rsidP="00E013B5">
      <w:pPr>
        <w:ind w:left="2160" w:firstLine="720"/>
        <w:rPr>
          <w:rFonts w:cstheme="minorHAnsi"/>
          <w:b/>
        </w:rPr>
      </w:pPr>
      <w:r w:rsidRPr="00EB607D">
        <w:rPr>
          <w:rFonts w:cstheme="minorHAnsi"/>
          <w:b/>
        </w:rPr>
        <w:t xml:space="preserve">Australia </w:t>
      </w:r>
    </w:p>
    <w:p w:rsidR="000C1DE8" w:rsidRPr="00EB607D" w:rsidRDefault="000C1DE8" w:rsidP="000C1DE8">
      <w:pPr>
        <w:rPr>
          <w:rFonts w:cstheme="minorHAnsi"/>
          <w:b/>
        </w:rPr>
      </w:pPr>
    </w:p>
    <w:p w:rsidR="000C1DE8" w:rsidRPr="00EB607D" w:rsidRDefault="000C1DE8" w:rsidP="000C1DE8">
      <w:pPr>
        <w:rPr>
          <w:rFonts w:cstheme="minorHAnsi"/>
          <w:b/>
        </w:rPr>
      </w:pPr>
      <w:r w:rsidRPr="00EB607D">
        <w:rPr>
          <w:rFonts w:cstheme="minorHAnsi"/>
          <w:b/>
        </w:rPr>
        <w:t>Response Submitted by:</w:t>
      </w:r>
      <w:r w:rsidRPr="00EB607D">
        <w:rPr>
          <w:rFonts w:cstheme="minorHAnsi"/>
          <w:b/>
        </w:rPr>
        <w:tab/>
        <w:t>Bruce Maguire, Lead Policy Advisor</w:t>
      </w:r>
    </w:p>
    <w:p w:rsidR="000C1DE8" w:rsidRPr="00EB607D" w:rsidRDefault="000C1DE8" w:rsidP="000C1DE8">
      <w:pPr>
        <w:rPr>
          <w:rFonts w:cstheme="minorHAnsi"/>
          <w:b/>
        </w:rPr>
      </w:pPr>
      <w:r w:rsidRPr="00EB607D">
        <w:rPr>
          <w:rFonts w:cstheme="minorHAnsi"/>
          <w:b/>
        </w:rPr>
        <w:tab/>
      </w:r>
      <w:r w:rsidRPr="00EB607D">
        <w:rPr>
          <w:rFonts w:cstheme="minorHAnsi"/>
          <w:b/>
        </w:rPr>
        <w:tab/>
      </w:r>
      <w:r w:rsidRPr="00EB607D">
        <w:rPr>
          <w:rFonts w:cstheme="minorHAnsi"/>
          <w:b/>
        </w:rPr>
        <w:tab/>
      </w:r>
      <w:r w:rsidRPr="00EB607D">
        <w:rPr>
          <w:rFonts w:cstheme="minorHAnsi"/>
          <w:b/>
        </w:rPr>
        <w:tab/>
        <w:t>Bruce.Maguire@visionaustralia.org</w:t>
      </w:r>
    </w:p>
    <w:p w:rsidR="000C1DE8" w:rsidRPr="00EB607D" w:rsidRDefault="000C1DE8" w:rsidP="000C1DE8">
      <w:pPr>
        <w:rPr>
          <w:rFonts w:cstheme="minorHAnsi"/>
          <w:b/>
        </w:rPr>
      </w:pPr>
      <w:r w:rsidRPr="00EB607D">
        <w:rPr>
          <w:rFonts w:cstheme="minorHAnsi"/>
          <w:b/>
        </w:rPr>
        <w:tab/>
      </w:r>
      <w:r w:rsidRPr="00EB607D">
        <w:rPr>
          <w:rFonts w:cstheme="minorHAnsi"/>
          <w:b/>
        </w:rPr>
        <w:tab/>
      </w:r>
      <w:r w:rsidRPr="00EB607D">
        <w:rPr>
          <w:rFonts w:cstheme="minorHAnsi"/>
          <w:b/>
        </w:rPr>
        <w:tab/>
      </w:r>
      <w:r w:rsidRPr="00EB607D">
        <w:rPr>
          <w:rFonts w:cstheme="minorHAnsi"/>
          <w:b/>
        </w:rPr>
        <w:tab/>
        <w:t>02 9334 3173</w:t>
      </w:r>
    </w:p>
    <w:p w:rsidR="008617CC" w:rsidRDefault="008617CC">
      <w:pPr>
        <w:spacing w:after="0" w:line="240" w:lineRule="auto"/>
        <w:rPr>
          <w:rFonts w:cstheme="minorHAnsi"/>
          <w:b/>
        </w:rPr>
      </w:pPr>
      <w:r>
        <w:rPr>
          <w:rFonts w:cstheme="minorHAnsi"/>
          <w:b/>
        </w:rPr>
        <w:br w:type="page"/>
      </w:r>
    </w:p>
    <w:p w:rsidR="00B826EA" w:rsidRPr="00B826EA" w:rsidRDefault="00B826EA" w:rsidP="00E013B5">
      <w:pPr>
        <w:rPr>
          <w:rFonts w:eastAsiaTheme="majorEastAsia" w:cs="Times New Roman"/>
          <w:b/>
          <w:bCs/>
          <w:kern w:val="32"/>
          <w:sz w:val="32"/>
          <w:szCs w:val="32"/>
        </w:rPr>
      </w:pPr>
      <w:r w:rsidRPr="00B826EA">
        <w:rPr>
          <w:rFonts w:eastAsiaTheme="majorEastAsia" w:cs="Times New Roman"/>
          <w:b/>
          <w:bCs/>
          <w:kern w:val="32"/>
          <w:sz w:val="32"/>
          <w:szCs w:val="32"/>
        </w:rPr>
        <w:lastRenderedPageBreak/>
        <w:t>Introduction</w:t>
      </w:r>
    </w:p>
    <w:p w:rsidR="003A00DA" w:rsidRDefault="008617CC" w:rsidP="00E013B5">
      <w:r w:rsidRPr="00B826EA">
        <w:t xml:space="preserve">Vision Australia again congratulates the Australian Government for its leadership in being among the first 20 countries to ratify the Marrakesh Treaty. The Treaty has the potential to make </w:t>
      </w:r>
      <w:r w:rsidR="00761CF6" w:rsidRPr="00B826EA">
        <w:t>books</w:t>
      </w:r>
      <w:r w:rsidRPr="00B826EA">
        <w:t xml:space="preserve"> and other reading materials much more widely available to people with a print disability, both in Australia and in other </w:t>
      </w:r>
      <w:r w:rsidR="00761CF6" w:rsidRPr="00B826EA">
        <w:t>countries</w:t>
      </w:r>
      <w:r w:rsidRPr="00B826EA">
        <w:t xml:space="preserve"> around the world. We welcome the </w:t>
      </w:r>
      <w:r w:rsidR="00761CF6" w:rsidRPr="00B826EA">
        <w:t>opportunity to</w:t>
      </w:r>
      <w:r w:rsidRPr="00B826EA">
        <w:t xml:space="preserve"> submit feedback on the Expos</w:t>
      </w:r>
      <w:r w:rsidR="00761CF6" w:rsidRPr="00B826EA">
        <w:t>u</w:t>
      </w:r>
      <w:r w:rsidRPr="00B826EA">
        <w:t xml:space="preserve">re Draft of the Copyright </w:t>
      </w:r>
      <w:r w:rsidR="00761CF6" w:rsidRPr="006A784D">
        <w:t>Amendm</w:t>
      </w:r>
      <w:r w:rsidR="00761CF6" w:rsidRPr="006A784D">
        <w:rPr>
          <w:rFonts w:cstheme="minorHAnsi"/>
        </w:rPr>
        <w:t>ent</w:t>
      </w:r>
      <w:r w:rsidR="008756AD" w:rsidRPr="006A784D">
        <w:rPr>
          <w:rFonts w:cstheme="minorHAnsi"/>
        </w:rPr>
        <w:t xml:space="preserve"> </w:t>
      </w:r>
      <w:r w:rsidRPr="00B826EA">
        <w:t xml:space="preserve">(Disability </w:t>
      </w:r>
      <w:r w:rsidR="00415357" w:rsidRPr="00B826EA">
        <w:t xml:space="preserve">Access </w:t>
      </w:r>
      <w:r w:rsidRPr="00B826EA">
        <w:t xml:space="preserve">and other </w:t>
      </w:r>
      <w:r w:rsidR="008756AD" w:rsidRPr="00B826EA">
        <w:t>Measures</w:t>
      </w:r>
      <w:r w:rsidRPr="00B826EA">
        <w:t>) Bill 2016</w:t>
      </w:r>
      <w:r w:rsidR="008756AD" w:rsidRPr="00B826EA">
        <w:t>,</w:t>
      </w:r>
      <w:r w:rsidRPr="00B826EA">
        <w:t xml:space="preserve"> which will give legislative effect to Australia'</w:t>
      </w:r>
      <w:r w:rsidR="005E072F" w:rsidRPr="00B826EA">
        <w:t xml:space="preserve">s </w:t>
      </w:r>
      <w:r w:rsidR="00761CF6" w:rsidRPr="00B826EA">
        <w:t>ratification</w:t>
      </w:r>
      <w:r w:rsidR="005E072F" w:rsidRPr="00B826EA">
        <w:t xml:space="preserve"> of the </w:t>
      </w:r>
      <w:r w:rsidR="005E072F" w:rsidRPr="00B826EA">
        <w:br/>
        <w:t>Treaty.</w:t>
      </w:r>
      <w:r w:rsidR="008756AD" w:rsidRPr="00B826EA">
        <w:t xml:space="preserve"> </w:t>
      </w:r>
      <w:r w:rsidR="003A00DA">
        <w:t>In our view, the relevant changes to the Copyright Act contained in the proposed Bill are absolutely essential in order for the Treaty to be implemented effectively in Australia. This applies especially to the proposed changes to the commercial availability test</w:t>
      </w:r>
      <w:r w:rsidR="00051AC2">
        <w:t>, which we discuss elsewhere in this submission</w:t>
      </w:r>
      <w:r w:rsidR="003A00DA">
        <w:t>.</w:t>
      </w:r>
    </w:p>
    <w:p w:rsidR="005E072F" w:rsidRPr="00B826EA" w:rsidRDefault="008756AD" w:rsidP="00E013B5">
      <w:pPr>
        <w:rPr>
          <w:rFonts w:cstheme="minorHAnsi"/>
          <w:b/>
        </w:rPr>
      </w:pPr>
      <w:r w:rsidRPr="00B826EA">
        <w:t>We commend the Department on the thoroughness and inclusiveness of the consultation process.</w:t>
      </w:r>
      <w:r w:rsidR="00E013B5" w:rsidRPr="00B826EA">
        <w:rPr>
          <w:rFonts w:cstheme="minorHAnsi"/>
          <w:b/>
        </w:rPr>
        <w:t xml:space="preserve"> </w:t>
      </w:r>
    </w:p>
    <w:p w:rsidR="00BF38AD" w:rsidRDefault="005E072F" w:rsidP="00E013B5">
      <w:r w:rsidRPr="00B826EA">
        <w:t xml:space="preserve">We have provided our responses to the Guiding Questions that were developed by the Department of Communications to assist the consultation process. We have only commented on those questions that </w:t>
      </w:r>
      <w:r w:rsidR="004D605B" w:rsidRPr="00B826EA">
        <w:t xml:space="preserve">we believe </w:t>
      </w:r>
      <w:r w:rsidRPr="00B826EA">
        <w:t xml:space="preserve">are relevant to our library </w:t>
      </w:r>
      <w:r w:rsidR="00555D93" w:rsidRPr="00B826EA">
        <w:t xml:space="preserve">services </w:t>
      </w:r>
      <w:r w:rsidRPr="00B826EA">
        <w:t>and production activities, or the needs and interests of our clients who are blind or have low vision.</w:t>
      </w:r>
      <w:r w:rsidR="004D1C41" w:rsidRPr="00B826EA">
        <w:t xml:space="preserve"> We have also provided comments on several aspects of the proposed amendments that are not captured in the guiding questions.</w:t>
      </w:r>
    </w:p>
    <w:p w:rsidR="000C1DE8" w:rsidRDefault="00C11897" w:rsidP="00E013B5">
      <w:pPr>
        <w:rPr>
          <w:rFonts w:cstheme="minorHAnsi"/>
          <w:b/>
        </w:rPr>
      </w:pPr>
      <w:r w:rsidRPr="00B826EA">
        <w:t xml:space="preserve">We are </w:t>
      </w:r>
      <w:r w:rsidR="0002039D" w:rsidRPr="00B826EA">
        <w:t xml:space="preserve">happy to provide further details about any of our comments in this submission, and we are </w:t>
      </w:r>
      <w:r w:rsidRPr="00B826EA">
        <w:t>keen to be involved in any further discussion on the proposed amendments</w:t>
      </w:r>
      <w:r w:rsidR="00727B9C" w:rsidRPr="00B826EA">
        <w:t>.</w:t>
      </w:r>
      <w:r w:rsidR="008617CC" w:rsidRPr="00B826EA">
        <w:rPr>
          <w:rFonts w:cstheme="minorHAnsi"/>
          <w:b/>
        </w:rPr>
        <w:t xml:space="preserve"> </w:t>
      </w:r>
      <w:r w:rsidR="00BF38AD" w:rsidRPr="006A784D">
        <w:rPr>
          <w:rFonts w:cstheme="minorHAnsi"/>
        </w:rPr>
        <w:t xml:space="preserve">We </w:t>
      </w:r>
      <w:r w:rsidR="00485747" w:rsidRPr="006A784D">
        <w:rPr>
          <w:rFonts w:cstheme="minorHAnsi"/>
        </w:rPr>
        <w:t>are</w:t>
      </w:r>
      <w:r w:rsidR="00BF38AD" w:rsidRPr="006A784D">
        <w:rPr>
          <w:rFonts w:cstheme="minorHAnsi"/>
        </w:rPr>
        <w:t xml:space="preserve"> also </w:t>
      </w:r>
      <w:r w:rsidR="00485747" w:rsidRPr="006A784D">
        <w:rPr>
          <w:rFonts w:cstheme="minorHAnsi"/>
        </w:rPr>
        <w:t>a</w:t>
      </w:r>
      <w:r w:rsidR="00BF38AD" w:rsidRPr="006A784D">
        <w:rPr>
          <w:rFonts w:cstheme="minorHAnsi"/>
        </w:rPr>
        <w:t xml:space="preserve">ble to </w:t>
      </w:r>
      <w:r w:rsidR="007A3740" w:rsidRPr="006A784D">
        <w:rPr>
          <w:rFonts w:cstheme="minorHAnsi"/>
        </w:rPr>
        <w:t xml:space="preserve">arrange </w:t>
      </w:r>
      <w:r w:rsidR="00BF38AD" w:rsidRPr="006A784D">
        <w:rPr>
          <w:rFonts w:cstheme="minorHAnsi"/>
        </w:rPr>
        <w:t xml:space="preserve">actual demonstrations </w:t>
      </w:r>
      <w:r w:rsidR="007A3740" w:rsidRPr="006A784D">
        <w:rPr>
          <w:rFonts w:cstheme="minorHAnsi"/>
        </w:rPr>
        <w:t xml:space="preserve">to provide the Department or other </w:t>
      </w:r>
      <w:r w:rsidR="00E149EE" w:rsidRPr="006A784D">
        <w:rPr>
          <w:rFonts w:cstheme="minorHAnsi"/>
        </w:rPr>
        <w:t>stakeholders</w:t>
      </w:r>
      <w:r w:rsidR="007A3740" w:rsidRPr="006A784D">
        <w:rPr>
          <w:rFonts w:cstheme="minorHAnsi"/>
        </w:rPr>
        <w:t xml:space="preserve"> with a more detailed understanding </w:t>
      </w:r>
      <w:r w:rsidR="00BF38AD" w:rsidRPr="006A784D">
        <w:rPr>
          <w:rFonts w:cstheme="minorHAnsi"/>
        </w:rPr>
        <w:t>of the benefits of accessible formats and the limitati</w:t>
      </w:r>
      <w:r w:rsidR="007A3740" w:rsidRPr="006A784D">
        <w:rPr>
          <w:rFonts w:cstheme="minorHAnsi"/>
        </w:rPr>
        <w:t>ons of commercial formats.</w:t>
      </w:r>
    </w:p>
    <w:p w:rsidR="0002039D" w:rsidRPr="00B826EA" w:rsidRDefault="0002039D" w:rsidP="0002039D">
      <w:pPr>
        <w:pStyle w:val="Heading1"/>
        <w:rPr>
          <w:rFonts w:asciiTheme="minorHAnsi" w:hAnsiTheme="minorHAnsi"/>
        </w:rPr>
      </w:pPr>
      <w:r w:rsidRPr="00B826EA">
        <w:rPr>
          <w:rFonts w:asciiTheme="minorHAnsi" w:hAnsiTheme="minorHAnsi"/>
        </w:rPr>
        <w:t>Comments on the Guiding Questions</w:t>
      </w:r>
    </w:p>
    <w:p w:rsidR="00B826EA" w:rsidRDefault="00B826EA" w:rsidP="00E013B5">
      <w:pPr>
        <w:rPr>
          <w:rStyle w:val="Heading2Char"/>
        </w:rPr>
      </w:pPr>
    </w:p>
    <w:p w:rsidR="00757C1E" w:rsidRPr="00B826EA" w:rsidRDefault="00757C1E" w:rsidP="00E013B5">
      <w:pPr>
        <w:rPr>
          <w:rFonts w:cstheme="minorHAnsi"/>
          <w:b/>
        </w:rPr>
      </w:pPr>
      <w:r w:rsidRPr="00B826EA">
        <w:rPr>
          <w:rStyle w:val="Heading2Char"/>
        </w:rPr>
        <w:t>Q 1: Do yo</w:t>
      </w:r>
      <w:r w:rsidR="001837E9" w:rsidRPr="00B826EA">
        <w:rPr>
          <w:rStyle w:val="Heading2Char"/>
        </w:rPr>
        <w:t>u think the proposed provisions are sufficiently clear and will operate effectively to meet the objective of ensuring access to accessible format copies of works?</w:t>
      </w:r>
      <w:r w:rsidR="00E013B5" w:rsidRPr="00B826EA">
        <w:rPr>
          <w:rFonts w:cstheme="minorHAnsi"/>
          <w:b/>
        </w:rPr>
        <w:t xml:space="preserve"> </w:t>
      </w:r>
    </w:p>
    <w:p w:rsidR="00B826EA" w:rsidRDefault="00B826EA" w:rsidP="006D2230"/>
    <w:p w:rsidR="00CC3FFA" w:rsidRPr="00B826EA" w:rsidRDefault="008A7A80" w:rsidP="006D2230">
      <w:r w:rsidRPr="00B826EA">
        <w:t xml:space="preserve">Overall, we </w:t>
      </w:r>
      <w:r>
        <w:t>believe that the</w:t>
      </w:r>
      <w:r w:rsidRPr="00B826EA">
        <w:t xml:space="preserve"> proposed provisions </w:t>
      </w:r>
      <w:r>
        <w:t>are essential for the effective implementation of the Marrakesh Treaty and for helping to</w:t>
      </w:r>
      <w:r w:rsidRPr="00B826EA">
        <w:t xml:space="preserve"> remov</w:t>
      </w:r>
      <w:r>
        <w:t>e</w:t>
      </w:r>
      <w:r w:rsidRPr="00B826EA">
        <w:t xml:space="preserve"> some of the entrenched copyright-related barriers that people who are blind or have low vision experience when attempting to access books and other copyrighted materials. </w:t>
      </w:r>
      <w:r w:rsidR="00761CF6" w:rsidRPr="00B826EA">
        <w:t xml:space="preserve">The provisions offer a more flexible and contemporary definition of disability, </w:t>
      </w:r>
      <w:r w:rsidR="00E013B5" w:rsidRPr="00B826EA">
        <w:t>recognising</w:t>
      </w:r>
      <w:r w:rsidR="00761CF6" w:rsidRPr="00B826EA">
        <w:t xml:space="preserve"> that people with a disability have individual format require</w:t>
      </w:r>
      <w:r w:rsidR="00E013B5" w:rsidRPr="00B826EA">
        <w:t>ments for accessing information. In doing so, it further acknowledges</w:t>
      </w:r>
      <w:r w:rsidR="00761CF6" w:rsidRPr="00B826EA">
        <w:t xml:space="preserve"> that their needs are not adequately met by a prescriptive, exhaustive approach that imposes onerous and unhelpful burdens on organisations </w:t>
      </w:r>
      <w:r w:rsidR="00E013B5" w:rsidRPr="00B826EA">
        <w:t>producing</w:t>
      </w:r>
      <w:r w:rsidR="00761CF6" w:rsidRPr="00B826EA">
        <w:t xml:space="preserve"> materials in accessible formats.</w:t>
      </w:r>
    </w:p>
    <w:p w:rsidR="001D43FB" w:rsidRPr="00B826EA" w:rsidRDefault="0066601D" w:rsidP="00B826EA">
      <w:r w:rsidRPr="00B826EA">
        <w:t>We also welcome the increased flexibility in the definition of copyright material, to include musical works (</w:t>
      </w:r>
      <w:r w:rsidR="00D63CA5" w:rsidRPr="00B826EA">
        <w:t xml:space="preserve">such as </w:t>
      </w:r>
      <w:r w:rsidRPr="00B826EA">
        <w:t xml:space="preserve">sheet </w:t>
      </w:r>
      <w:r w:rsidR="004D605B" w:rsidRPr="00B826EA">
        <w:t>music</w:t>
      </w:r>
      <w:r w:rsidRPr="00B826EA">
        <w:t xml:space="preserve">) and audio-visual </w:t>
      </w:r>
      <w:r w:rsidR="001866CB" w:rsidRPr="00B826EA">
        <w:t>content</w:t>
      </w:r>
      <w:r w:rsidRPr="00B826EA">
        <w:t xml:space="preserve">. </w:t>
      </w:r>
      <w:r w:rsidR="001866CB" w:rsidRPr="00B826EA">
        <w:t>Technological developments are likely to give rise to new content formats in the future, and we believe that the emphasis of the proposed amendments on the content itself</w:t>
      </w:r>
      <w:r w:rsidR="00E013B5" w:rsidRPr="00B826EA">
        <w:t>,</w:t>
      </w:r>
      <w:r w:rsidR="001866CB" w:rsidRPr="00B826EA">
        <w:t xml:space="preserve"> rather than the particular format of the material will allow organisations such as Vision Australia to provide a greater range of content to our clients who are blind or have low vision.</w:t>
      </w:r>
    </w:p>
    <w:p w:rsidR="007A2B07" w:rsidRPr="00B826EA" w:rsidRDefault="001866CB" w:rsidP="00B826EA">
      <w:r w:rsidRPr="00B826EA">
        <w:t>We do, however, believe that the proposed provision in relation to fair dealing will not result in certainty for people who are blind or have low vision if they convert inaccessible content to an accessibl</w:t>
      </w:r>
      <w:r w:rsidR="00E013B5" w:rsidRPr="00B826EA">
        <w:t xml:space="preserve">e format for their personal use. For example; </w:t>
      </w:r>
      <w:r w:rsidRPr="00B826EA">
        <w:t>scan</w:t>
      </w:r>
      <w:r w:rsidR="00E013B5" w:rsidRPr="00B826EA">
        <w:t>ning</w:t>
      </w:r>
      <w:r w:rsidRPr="00B826EA">
        <w:t xml:space="preserve"> a book into a computer and </w:t>
      </w:r>
      <w:r w:rsidR="00E013B5" w:rsidRPr="00B826EA">
        <w:t xml:space="preserve">then </w:t>
      </w:r>
      <w:r w:rsidRPr="00B826EA">
        <w:t>convert</w:t>
      </w:r>
      <w:r w:rsidR="00E013B5" w:rsidRPr="00B826EA">
        <w:t>ing</w:t>
      </w:r>
      <w:r w:rsidRPr="00B826EA">
        <w:t xml:space="preserve"> it to braille. </w:t>
      </w:r>
      <w:r w:rsidR="007A2B07" w:rsidRPr="00B826EA">
        <w:t xml:space="preserve">This belief is </w:t>
      </w:r>
      <w:r w:rsidR="00761CF6" w:rsidRPr="00B826EA">
        <w:t>consistent</w:t>
      </w:r>
      <w:r w:rsidR="007A2B07" w:rsidRPr="00B826EA">
        <w:t xml:space="preserve"> with comments we have made previously and which we reiterate later in this submission. </w:t>
      </w:r>
    </w:p>
    <w:p w:rsidR="00B826EA" w:rsidRDefault="007A2B07" w:rsidP="00B826EA">
      <w:r w:rsidRPr="00B826EA">
        <w:t xml:space="preserve">We also have lingering concerns about </w:t>
      </w:r>
      <w:r w:rsidR="005D37BF" w:rsidRPr="00B826EA">
        <w:t>whether the proposed provisions</w:t>
      </w:r>
      <w:r w:rsidRPr="00B826EA">
        <w:t xml:space="preserve"> </w:t>
      </w:r>
      <w:r w:rsidR="005D37BF" w:rsidRPr="00B826EA">
        <w:t xml:space="preserve">will make it possible for Bookshare and other overseas repositories of material in accessible formats to make their materials available in </w:t>
      </w:r>
      <w:r w:rsidR="00761CF6" w:rsidRPr="00B826EA">
        <w:t>Australia</w:t>
      </w:r>
      <w:r w:rsidR="005D37BF" w:rsidRPr="00B826EA">
        <w:t xml:space="preserve">. We hope that these concerns will be addressed through the regulations foreshadowed in the Stakeholder Consultation document. </w:t>
      </w:r>
    </w:p>
    <w:p w:rsidR="001837E9" w:rsidRPr="00B826EA" w:rsidRDefault="001837E9" w:rsidP="00C77056">
      <w:pPr>
        <w:pStyle w:val="Heading2"/>
        <w:rPr>
          <w:rFonts w:asciiTheme="minorHAnsi" w:hAnsiTheme="minorHAnsi"/>
        </w:rPr>
      </w:pPr>
      <w:r w:rsidRPr="00B826EA">
        <w:rPr>
          <w:rFonts w:asciiTheme="minorHAnsi" w:hAnsiTheme="minorHAnsi"/>
        </w:rPr>
        <w:lastRenderedPageBreak/>
        <w:t>Q 2: Do you prefer the terminology ‘organisation assisting a person with a disability’?</w:t>
      </w:r>
    </w:p>
    <w:p w:rsidR="00B826EA" w:rsidRDefault="00B826EA" w:rsidP="00C77056"/>
    <w:p w:rsidR="001837E9" w:rsidRPr="00B826EA" w:rsidRDefault="00AC3558" w:rsidP="00C77056">
      <w:r w:rsidRPr="00B826EA">
        <w:t xml:space="preserve">We prefer this terminology, because it is more </w:t>
      </w:r>
      <w:r w:rsidR="0053092A" w:rsidRPr="00B826EA">
        <w:t>consistent</w:t>
      </w:r>
      <w:r w:rsidR="00E013B5" w:rsidRPr="00B826EA">
        <w:t>ly reflects</w:t>
      </w:r>
      <w:r w:rsidR="0053092A" w:rsidRPr="00B826EA">
        <w:t xml:space="preserve"> </w:t>
      </w:r>
      <w:r w:rsidR="00E94692" w:rsidRPr="00B826EA">
        <w:t>the language</w:t>
      </w:r>
      <w:r w:rsidR="0053092A" w:rsidRPr="00B826EA">
        <w:t xml:space="preserve"> used in the disability sector. The term "organisation" is a more accurate descri</w:t>
      </w:r>
      <w:r w:rsidRPr="00B826EA">
        <w:t xml:space="preserve">ption of corporate structures in the disability sector. There has always been some uncertainty about the </w:t>
      </w:r>
      <w:r w:rsidR="008E6ED1" w:rsidRPr="00B826EA">
        <w:t>exact meaning of "institution" in the context of the Copyright Act</w:t>
      </w:r>
      <w:r w:rsidR="00E013B5" w:rsidRPr="00B826EA">
        <w:t>. I</w:t>
      </w:r>
      <w:r w:rsidR="008E6ED1" w:rsidRPr="00B826EA">
        <w:t xml:space="preserve">n any case, it is not clear whether international bodies involved in producing or sharing materials in accessible formats under the Marrakesh Treaty would meet, or consider </w:t>
      </w:r>
      <w:proofErr w:type="gramStart"/>
      <w:r w:rsidR="008E6ED1" w:rsidRPr="00B826EA">
        <w:t>themselves</w:t>
      </w:r>
      <w:proofErr w:type="gramEnd"/>
      <w:r w:rsidR="008E6ED1" w:rsidRPr="00B826EA">
        <w:t xml:space="preserve"> as meeting, the definition of an institution. "Organisation" </w:t>
      </w:r>
      <w:r w:rsidR="00761CF6" w:rsidRPr="00B826EA">
        <w:t>is much less likely to result in confusion or uncertainty.</w:t>
      </w:r>
    </w:p>
    <w:p w:rsidR="0002246C" w:rsidRPr="00B826EA" w:rsidRDefault="0053092A" w:rsidP="00B826EA">
      <w:r w:rsidRPr="00B826EA">
        <w:t xml:space="preserve">Similarly, we prefer "person with a disability" because it is consistent with </w:t>
      </w:r>
      <w:r w:rsidR="001866CB" w:rsidRPr="00B826EA">
        <w:t>concepts</w:t>
      </w:r>
      <w:r w:rsidRPr="00B826EA">
        <w:t xml:space="preserve"> of person-</w:t>
      </w:r>
      <w:r w:rsidR="001866CB" w:rsidRPr="00B826EA">
        <w:t>centeredness</w:t>
      </w:r>
      <w:r w:rsidRPr="00B826EA">
        <w:t xml:space="preserve"> and individualised needs and services that have become important foundations of the National Disability Insurance Scheme. This person-centred approach also emphasises that individuals with a disability </w:t>
      </w:r>
      <w:r w:rsidR="008A0013" w:rsidRPr="00B826EA">
        <w:t>require different formats to provide them with access to books and other reading materials, and that one format cannot be substituted for another.</w:t>
      </w:r>
      <w:r w:rsidR="0042415F" w:rsidRPr="00B826EA">
        <w:t xml:space="preserve"> Finally, the proposed definition of disability is entirely consistent with that contained in the Marrakesh Treaty.</w:t>
      </w:r>
    </w:p>
    <w:p w:rsidR="00D70C17" w:rsidRDefault="00D70C17" w:rsidP="0002246C">
      <w:pPr>
        <w:pStyle w:val="Heading2"/>
        <w:rPr>
          <w:rFonts w:asciiTheme="minorHAnsi" w:hAnsiTheme="minorHAnsi"/>
        </w:rPr>
      </w:pPr>
    </w:p>
    <w:p w:rsidR="001837E9" w:rsidRPr="00B826EA" w:rsidRDefault="001837E9" w:rsidP="0002246C">
      <w:pPr>
        <w:pStyle w:val="Heading2"/>
        <w:rPr>
          <w:rFonts w:asciiTheme="minorHAnsi" w:hAnsiTheme="minorHAnsi"/>
        </w:rPr>
      </w:pPr>
      <w:r w:rsidRPr="00B826EA">
        <w:rPr>
          <w:rFonts w:asciiTheme="minorHAnsi" w:hAnsiTheme="minorHAnsi"/>
        </w:rPr>
        <w:t xml:space="preserve">Q 3:  Will the proposed exception allow providers of print disability radio to continue operating as they currently do? </w:t>
      </w:r>
    </w:p>
    <w:p w:rsidR="001837E9" w:rsidRPr="00B826EA" w:rsidRDefault="001837E9" w:rsidP="00B826EA">
      <w:pPr>
        <w:rPr>
          <w:rFonts w:cstheme="minorHAnsi"/>
          <w:b/>
        </w:rPr>
      </w:pPr>
    </w:p>
    <w:p w:rsidR="00484EB7" w:rsidRPr="00B826EA" w:rsidRDefault="00291BAE" w:rsidP="00B826EA">
      <w:r w:rsidRPr="00B826EA">
        <w:t xml:space="preserve">We believe that the proposed </w:t>
      </w:r>
      <w:r w:rsidR="001866CB" w:rsidRPr="00B826EA">
        <w:t>ex</w:t>
      </w:r>
      <w:r w:rsidR="005F0D6D" w:rsidRPr="00B826EA">
        <w:t>c</w:t>
      </w:r>
      <w:r w:rsidR="001866CB" w:rsidRPr="00B826EA">
        <w:t>eption</w:t>
      </w:r>
      <w:r w:rsidR="00777265">
        <w:t xml:space="preserve"> will have a positive </w:t>
      </w:r>
      <w:r w:rsidRPr="00B826EA">
        <w:t xml:space="preserve">impact on the operations of Radio for the </w:t>
      </w:r>
      <w:r w:rsidR="001866CB" w:rsidRPr="00B826EA">
        <w:t>Print</w:t>
      </w:r>
      <w:r w:rsidRPr="00B826EA">
        <w:t xml:space="preserve"> Handicapped </w:t>
      </w:r>
      <w:r w:rsidR="00C233A6">
        <w:t xml:space="preserve">(RPH) </w:t>
      </w:r>
      <w:r w:rsidRPr="00B826EA">
        <w:t xml:space="preserve">and similar broadcasters. In fact, the greater flexibility in the definition of "broadcast" will make it possible for these services to </w:t>
      </w:r>
      <w:r w:rsidR="001866CB" w:rsidRPr="00B826EA">
        <w:t>extend</w:t>
      </w:r>
      <w:r w:rsidR="00AB783C">
        <w:t xml:space="preserve"> their operations. For example</w:t>
      </w:r>
      <w:r w:rsidR="00BD5817">
        <w:t>,</w:t>
      </w:r>
      <w:r w:rsidRPr="00B826EA">
        <w:t xml:space="preserve"> by being able to broadcast copyright material via the internet</w:t>
      </w:r>
      <w:r w:rsidR="00C233A6">
        <w:t xml:space="preserve">, RPH stations will be able </w:t>
      </w:r>
      <w:r w:rsidR="00467F1F">
        <w:t>to make more material available to</w:t>
      </w:r>
      <w:r w:rsidRPr="00B826EA">
        <w:t xml:space="preserve"> a </w:t>
      </w:r>
      <w:r w:rsidR="00467F1F">
        <w:t>larger</w:t>
      </w:r>
      <w:r w:rsidRPr="00B826EA">
        <w:t xml:space="preserve"> audience of people with a disability than they can at present.</w:t>
      </w:r>
    </w:p>
    <w:p w:rsidR="0075107F" w:rsidRDefault="00F13B1F">
      <w:pPr>
        <w:spacing w:after="0" w:line="240" w:lineRule="auto"/>
      </w:pPr>
      <w:r>
        <w:t xml:space="preserve">While internet streaming falls within the scope of the proposed general exception, we are uncertain the exception will also extend to "on demand" listening, which allows people to listen to programs again for a certain period of time after the original broadcast. </w:t>
      </w:r>
      <w:r w:rsidR="00B369C8">
        <w:t>"</w:t>
      </w:r>
      <w:proofErr w:type="gramStart"/>
      <w:r w:rsidR="00B369C8">
        <w:t>on</w:t>
      </w:r>
      <w:proofErr w:type="gramEnd"/>
      <w:r w:rsidR="00B369C8">
        <w:t xml:space="preserve"> demand" listening is becoming </w:t>
      </w:r>
      <w:r w:rsidR="00606587">
        <w:t>increasingly popular</w:t>
      </w:r>
      <w:r w:rsidR="0075107F">
        <w:t xml:space="preserve"> among mainstream broadcasters, but RPH stations have been unable to incorporate it into their broadcast services because it is not covered by the current S47</w:t>
      </w:r>
      <w:r>
        <w:t xml:space="preserve"> of the Copyright Act</w:t>
      </w:r>
      <w:r w:rsidR="0075107F">
        <w:t xml:space="preserve">. </w:t>
      </w:r>
    </w:p>
    <w:p w:rsidR="006A784D" w:rsidRDefault="006A784D">
      <w:pPr>
        <w:spacing w:after="0" w:line="240" w:lineRule="auto"/>
      </w:pPr>
    </w:p>
    <w:p w:rsidR="00CB5C4F" w:rsidRPr="00B826EA" w:rsidRDefault="006A784D">
      <w:pPr>
        <w:spacing w:after="0" w:line="240" w:lineRule="auto"/>
      </w:pPr>
      <w:r>
        <w:t>"O</w:t>
      </w:r>
      <w:r w:rsidR="0075107F">
        <w:t>n demand" listening h</w:t>
      </w:r>
      <w:r w:rsidR="00606587">
        <w:t>as the potential to make more material available to people with a disability</w:t>
      </w:r>
      <w:r w:rsidR="0075107F">
        <w:t>, and</w:t>
      </w:r>
      <w:r w:rsidR="00606587">
        <w:t xml:space="preserve"> </w:t>
      </w:r>
      <w:r w:rsidR="0075107F">
        <w:t>i</w:t>
      </w:r>
      <w:r w:rsidR="00606587">
        <w:t xml:space="preserve">t is therefore important that </w:t>
      </w:r>
      <w:r w:rsidR="00F13B1F">
        <w:t xml:space="preserve">it is covered by the </w:t>
      </w:r>
      <w:r w:rsidR="00606587">
        <w:t>proposed exception</w:t>
      </w:r>
      <w:r w:rsidR="0075107F">
        <w:t>.</w:t>
      </w:r>
      <w:r>
        <w:t xml:space="preserve"> </w:t>
      </w:r>
      <w:r w:rsidR="00F13B1F">
        <w:t>In any case, w</w:t>
      </w:r>
      <w:r w:rsidR="00484EB7" w:rsidRPr="00B826EA">
        <w:t>e would welcome further guidance material on the implications of the proposed new exception so that organisations will have a greater understanding of the increased flexibility that the exception provides for the development of enhanced content for people with a disability</w:t>
      </w:r>
      <w:r w:rsidR="001B34B6" w:rsidRPr="00B826EA">
        <w:t xml:space="preserve">. </w:t>
      </w:r>
      <w:r w:rsidR="00484EB7" w:rsidRPr="00B826EA">
        <w:t xml:space="preserve">For example, </w:t>
      </w:r>
      <w:r w:rsidR="00EA50BD" w:rsidRPr="00B826EA">
        <w:t>our understanding is that the proposed exception will a</w:t>
      </w:r>
      <w:r w:rsidR="00F12733" w:rsidRPr="00B826EA">
        <w:t>l</w:t>
      </w:r>
      <w:r w:rsidR="00EA50BD" w:rsidRPr="00B826EA">
        <w:t>low an organisation assisting a person with a disability to a</w:t>
      </w:r>
      <w:r w:rsidR="00F12733" w:rsidRPr="00B826EA">
        <w:t>d</w:t>
      </w:r>
      <w:r w:rsidR="00EA50BD" w:rsidRPr="00B826EA">
        <w:t>d audio description to a</w:t>
      </w:r>
      <w:r w:rsidR="00F12733" w:rsidRPr="00B826EA">
        <w:t xml:space="preserve"> copy of an existi</w:t>
      </w:r>
      <w:r w:rsidR="00EA50BD" w:rsidRPr="00B826EA">
        <w:t>n</w:t>
      </w:r>
      <w:r w:rsidR="00F12733" w:rsidRPr="00B826EA">
        <w:t xml:space="preserve">g broadcast so </w:t>
      </w:r>
      <w:r w:rsidR="007F28EB" w:rsidRPr="00B826EA">
        <w:t>t</w:t>
      </w:r>
      <w:r w:rsidR="00F12733" w:rsidRPr="00B826EA">
        <w:t>hat people who are blind or have low vision can access it.</w:t>
      </w:r>
    </w:p>
    <w:p w:rsidR="006A784D" w:rsidRDefault="006A784D">
      <w:pPr>
        <w:spacing w:after="0" w:line="240" w:lineRule="auto"/>
        <w:rPr>
          <w:rFonts w:cstheme="minorHAnsi"/>
          <w:b/>
        </w:rPr>
      </w:pPr>
      <w:r>
        <w:rPr>
          <w:rFonts w:cstheme="minorHAnsi"/>
          <w:b/>
        </w:rPr>
        <w:br w:type="page"/>
      </w:r>
    </w:p>
    <w:p w:rsidR="00CB5C4F" w:rsidRPr="00B826EA" w:rsidRDefault="00245179" w:rsidP="00CB5C4F">
      <w:pPr>
        <w:pStyle w:val="Heading1"/>
        <w:rPr>
          <w:rFonts w:asciiTheme="minorHAnsi" w:hAnsiTheme="minorHAnsi"/>
        </w:rPr>
      </w:pPr>
      <w:r w:rsidRPr="00B826EA">
        <w:rPr>
          <w:rFonts w:asciiTheme="minorHAnsi" w:hAnsiTheme="minorHAnsi"/>
        </w:rPr>
        <w:lastRenderedPageBreak/>
        <w:t>Other Issues</w:t>
      </w:r>
    </w:p>
    <w:p w:rsidR="004D1C41" w:rsidRPr="00B826EA" w:rsidRDefault="004D1C41" w:rsidP="00710728">
      <w:pPr>
        <w:pStyle w:val="Heading2"/>
        <w:rPr>
          <w:rFonts w:asciiTheme="minorHAnsi" w:hAnsiTheme="minorHAnsi"/>
        </w:rPr>
      </w:pPr>
      <w:r w:rsidRPr="00B826EA">
        <w:rPr>
          <w:rFonts w:asciiTheme="minorHAnsi" w:hAnsiTheme="minorHAnsi"/>
        </w:rPr>
        <w:t>Definition of Disability</w:t>
      </w:r>
    </w:p>
    <w:p w:rsidR="004D1C41" w:rsidRPr="00B826EA" w:rsidRDefault="004D1C41" w:rsidP="004D1C41"/>
    <w:p w:rsidR="004D1C41" w:rsidRPr="00B826EA" w:rsidRDefault="004D1C41" w:rsidP="004D1C41">
      <w:r w:rsidRPr="00B826EA">
        <w:t>We support the consolidated definition of disability in the proposed amendments. It</w:t>
      </w:r>
      <w:r w:rsidR="004762DD" w:rsidRPr="00B826EA">
        <w:t xml:space="preserve">s functional emphasis will allow Vision Australia and other </w:t>
      </w:r>
      <w:r w:rsidR="001866CB" w:rsidRPr="00B826EA">
        <w:t>organisations</w:t>
      </w:r>
      <w:r w:rsidR="004762DD" w:rsidRPr="00B826EA">
        <w:t xml:space="preserve"> greater flexibility in </w:t>
      </w:r>
      <w:r w:rsidR="00333C54" w:rsidRPr="00B826EA">
        <w:t>meeting the needs of people who require material in different accessible formats.</w:t>
      </w:r>
    </w:p>
    <w:p w:rsidR="00B826EA" w:rsidRDefault="00333C54" w:rsidP="004D1C41">
      <w:r w:rsidRPr="00B826EA">
        <w:t xml:space="preserve">We would, however, </w:t>
      </w:r>
      <w:r w:rsidR="00DF657C" w:rsidRPr="00B826EA">
        <w:t xml:space="preserve">suggest that further clarification be provided about the inclusion of "comprehension" as an element of reading, so as to allow </w:t>
      </w:r>
      <w:r w:rsidR="00AB783C">
        <w:t xml:space="preserve">for </w:t>
      </w:r>
      <w:r w:rsidR="00DF657C" w:rsidRPr="00B826EA">
        <w:t>the conversion of content into formats such as Easy English. This clarification could be provided in the Explanatory Memorandum, other guidance material, or by including the word "</w:t>
      </w:r>
      <w:r w:rsidR="001866CB" w:rsidRPr="00B826EA">
        <w:t>comprehension</w:t>
      </w:r>
      <w:r w:rsidR="00DF657C" w:rsidRPr="00B826EA">
        <w:t xml:space="preserve">" in the definition of disability in the </w:t>
      </w:r>
      <w:r w:rsidR="00634CF4" w:rsidRPr="00B826EA">
        <w:t>Bill</w:t>
      </w:r>
      <w:r w:rsidR="00DF657C" w:rsidRPr="00B826EA">
        <w:t>.</w:t>
      </w:r>
    </w:p>
    <w:p w:rsidR="00B826EA" w:rsidRDefault="00B826EA">
      <w:pPr>
        <w:spacing w:after="0" w:line="240" w:lineRule="auto"/>
      </w:pPr>
    </w:p>
    <w:p w:rsidR="002A0DE5" w:rsidRPr="00B826EA" w:rsidRDefault="00575ACE" w:rsidP="00575ACE">
      <w:pPr>
        <w:pStyle w:val="Heading2"/>
        <w:rPr>
          <w:rFonts w:asciiTheme="minorHAnsi" w:hAnsiTheme="minorHAnsi"/>
        </w:rPr>
      </w:pPr>
      <w:r w:rsidRPr="00B826EA">
        <w:rPr>
          <w:rFonts w:asciiTheme="minorHAnsi" w:hAnsiTheme="minorHAnsi"/>
        </w:rPr>
        <w:t>Fair Dealing</w:t>
      </w:r>
    </w:p>
    <w:p w:rsidR="00575ACE" w:rsidRPr="00B826EA" w:rsidRDefault="00575ACE" w:rsidP="00575ACE"/>
    <w:p w:rsidR="00575ACE" w:rsidRPr="00B826EA" w:rsidRDefault="00010276" w:rsidP="00575ACE">
      <w:r w:rsidRPr="00B826EA">
        <w:t>In our 2014 submission on the Marrakesh Treaty Implementation Options Paper</w:t>
      </w:r>
      <w:r w:rsidR="00B826EA">
        <w:t>,</w:t>
      </w:r>
      <w:r w:rsidRPr="00B826EA">
        <w:t xml:space="preserve"> we acknowledged concerns about the interpretation of Section 200AB of the Copyright Act, but were reluctant to support the transfer of provisions in S200AB(4) to sections of the Act relating to Fair Dealing. </w:t>
      </w:r>
    </w:p>
    <w:p w:rsidR="00E425DD" w:rsidRPr="00B826EA" w:rsidRDefault="00B64149" w:rsidP="00575ACE">
      <w:r w:rsidRPr="00B826EA">
        <w:t xml:space="preserve">The proposed amendments replace the provisions of </w:t>
      </w:r>
      <w:proofErr w:type="gramStart"/>
      <w:r w:rsidRPr="00B826EA">
        <w:t>S200AB(</w:t>
      </w:r>
      <w:proofErr w:type="gramEnd"/>
      <w:r w:rsidRPr="00B826EA">
        <w:t xml:space="preserve">4) with a Fair Dealing exception for individuals with a disability </w:t>
      </w:r>
      <w:r w:rsidR="00997FF0" w:rsidRPr="00B826EA">
        <w:t xml:space="preserve">(S113E). </w:t>
      </w:r>
      <w:r w:rsidR="008671B9" w:rsidRPr="00B826EA">
        <w:t xml:space="preserve">We </w:t>
      </w:r>
      <w:r w:rsidR="009C1CF2" w:rsidRPr="00B826EA">
        <w:t xml:space="preserve">strongly </w:t>
      </w:r>
      <w:r w:rsidR="008671B9" w:rsidRPr="00B826EA">
        <w:t>support the removal of S200AB in general, because ambiguities and difficul</w:t>
      </w:r>
      <w:r w:rsidR="00544D43" w:rsidRPr="00B826EA">
        <w:t>t</w:t>
      </w:r>
      <w:r w:rsidR="008671B9" w:rsidRPr="00B826EA">
        <w:t xml:space="preserve">ies in interpretation have caused significant </w:t>
      </w:r>
      <w:r w:rsidR="00544D43" w:rsidRPr="00B826EA">
        <w:t xml:space="preserve">practical </w:t>
      </w:r>
      <w:r w:rsidR="008671B9" w:rsidRPr="00B826EA">
        <w:t xml:space="preserve">problems for libraries and educational institutions. </w:t>
      </w:r>
    </w:p>
    <w:p w:rsidR="00B64149" w:rsidRPr="00B826EA" w:rsidRDefault="00B53E73" w:rsidP="00575ACE">
      <w:r w:rsidRPr="00B826EA">
        <w:t xml:space="preserve">However, while we support the removal of S200AB, we do not believe that the replacement Fair Dealing exception is satisfactory, even though the matters to be taken into account when determining Fair Dealing are somewhat more intuitive than those required by S200AB(4). </w:t>
      </w:r>
      <w:r w:rsidR="00997FF0" w:rsidRPr="00B826EA">
        <w:t>Our view remains that a person with a disability should have the same level of certainty when reading in an accessible format as a person without a disability does when they read print, and that reliance on a Fair Dealing exception does not provide this equivalent level of certainty.</w:t>
      </w:r>
    </w:p>
    <w:p w:rsidR="00997FF0" w:rsidRPr="00B826EA" w:rsidRDefault="00997FF0" w:rsidP="00575ACE">
      <w:r w:rsidRPr="00B826EA">
        <w:t xml:space="preserve">As an illustration: a sighted person can </w:t>
      </w:r>
      <w:r w:rsidR="00010276" w:rsidRPr="00B826EA">
        <w:t>purchase</w:t>
      </w:r>
      <w:r w:rsidRPr="00B826EA">
        <w:t xml:space="preserve"> a print book (or borrow it from a library) and read it with absolute certainty that they are doing so legally. </w:t>
      </w:r>
      <w:r w:rsidR="00010276" w:rsidRPr="00B826EA">
        <w:t xml:space="preserve">A person who is blind can purchase the same print book (or borrow it from a library), but </w:t>
      </w:r>
      <w:r w:rsidR="00D94B58" w:rsidRPr="00B826EA">
        <w:t>will be unable to read it unless it is converted into an accessible format. However, a</w:t>
      </w:r>
      <w:r w:rsidR="00010276" w:rsidRPr="00B826EA">
        <w:t>s soon as they conve</w:t>
      </w:r>
      <w:r w:rsidR="00634CF4" w:rsidRPr="00B826EA">
        <w:t>r</w:t>
      </w:r>
      <w:r w:rsidR="00010276" w:rsidRPr="00B826EA">
        <w:t>t the print book into an accessible for</w:t>
      </w:r>
      <w:r w:rsidR="00634CF4" w:rsidRPr="00B826EA">
        <w:t xml:space="preserve">mat, for example, by scanning </w:t>
      </w:r>
      <w:r w:rsidR="00010276" w:rsidRPr="00B826EA">
        <w:t xml:space="preserve">it into the computer and using OCR software to convert it into synthetic speech or braille, they </w:t>
      </w:r>
      <w:r w:rsidR="00634CF4" w:rsidRPr="00B826EA">
        <w:t>lo</w:t>
      </w:r>
      <w:r w:rsidR="00010276" w:rsidRPr="00B826EA">
        <w:t xml:space="preserve">se the absolute certainty that they are </w:t>
      </w:r>
      <w:r w:rsidR="00F0095D" w:rsidRPr="00B826EA">
        <w:t>acting</w:t>
      </w:r>
      <w:r w:rsidR="00010276" w:rsidRPr="00B826EA">
        <w:t xml:space="preserve"> legally</w:t>
      </w:r>
      <w:r w:rsidR="00634CF4" w:rsidRPr="00B826EA">
        <w:t xml:space="preserve">. This is </w:t>
      </w:r>
      <w:r w:rsidR="00010276" w:rsidRPr="00B826EA">
        <w:t xml:space="preserve">because they have to rely on a Fair Dealing exception that is open to interpretation and ultimately </w:t>
      </w:r>
      <w:r w:rsidR="00634CF4" w:rsidRPr="00B826EA">
        <w:t>i</w:t>
      </w:r>
      <w:r w:rsidR="00010276" w:rsidRPr="00B826EA">
        <w:t>s subject to determinations of the Tribunal.</w:t>
      </w:r>
    </w:p>
    <w:p w:rsidR="000B3151" w:rsidRPr="00B826EA" w:rsidRDefault="000B3151" w:rsidP="00575ACE">
      <w:r w:rsidRPr="00B826EA">
        <w:t xml:space="preserve">While the use of Fair Dealing </w:t>
      </w:r>
      <w:r w:rsidR="00010276" w:rsidRPr="00B826EA">
        <w:t>exceptions</w:t>
      </w:r>
      <w:r w:rsidRPr="00B826EA">
        <w:t xml:space="preserve"> is well established for educational and related purposes, there is no existing guidance on how a Fair Dealing </w:t>
      </w:r>
      <w:r w:rsidR="00010276" w:rsidRPr="00B826EA">
        <w:t>exception</w:t>
      </w:r>
      <w:r w:rsidRPr="00B826EA">
        <w:t xml:space="preserve"> should apply in the context of disability access. When a person who is </w:t>
      </w:r>
      <w:r w:rsidR="00010276" w:rsidRPr="00B826EA">
        <w:t>blind</w:t>
      </w:r>
      <w:r w:rsidRPr="00B826EA">
        <w:t xml:space="preserve"> converts a print book into an accessible format</w:t>
      </w:r>
      <w:r w:rsidR="00E369D4" w:rsidRPr="00B826EA">
        <w:t xml:space="preserve"> for their own </w:t>
      </w:r>
      <w:r w:rsidR="00AB783C">
        <w:t xml:space="preserve">personal </w:t>
      </w:r>
      <w:r w:rsidR="00E369D4" w:rsidRPr="00B826EA">
        <w:t xml:space="preserve">use, they generally want to read the entire book, </w:t>
      </w:r>
      <w:r w:rsidR="00AB783C">
        <w:t>and not just a portion</w:t>
      </w:r>
      <w:r w:rsidR="00E369D4" w:rsidRPr="00B826EA">
        <w:t xml:space="preserve"> of it. This is not how Fair Dealing is usually understood. </w:t>
      </w:r>
      <w:r w:rsidR="00010276" w:rsidRPr="00B826EA">
        <w:t xml:space="preserve">We have found that many publishers have a very limited understanding of accessible formats and </w:t>
      </w:r>
      <w:r w:rsidR="00AB783C">
        <w:t xml:space="preserve">of </w:t>
      </w:r>
      <w:r w:rsidR="00010276" w:rsidRPr="00B826EA">
        <w:t xml:space="preserve">the needs of people with a print disability, and we have little confidence that a Fair Dealing exception would be interpreted beneficially if relied </w:t>
      </w:r>
      <w:r w:rsidR="00B826EA">
        <w:t>up</w:t>
      </w:r>
      <w:r w:rsidR="00010276" w:rsidRPr="00B826EA">
        <w:t>on by a person who is blind.</w:t>
      </w:r>
    </w:p>
    <w:p w:rsidR="00E369D4" w:rsidRPr="00B826EA" w:rsidRDefault="00BB426A" w:rsidP="00575ACE">
      <w:r>
        <w:t xml:space="preserve">It is unfair, unreasonable and discriminatory that a person who is blind or has low vision must rely on an uncertain Fair Dealing exception in order to read a book, whereas a sighted person can read the same book with absolute certainty and </w:t>
      </w:r>
      <w:r w:rsidR="00A372C1">
        <w:t>is not required to r</w:t>
      </w:r>
      <w:r>
        <w:t xml:space="preserve">ely on </w:t>
      </w:r>
      <w:r w:rsidR="00A372C1">
        <w:t xml:space="preserve">a </w:t>
      </w:r>
      <w:r>
        <w:t xml:space="preserve">Fair Dealing </w:t>
      </w:r>
      <w:r w:rsidR="00A372C1">
        <w:t xml:space="preserve">exception </w:t>
      </w:r>
      <w:r>
        <w:t xml:space="preserve">to do so. </w:t>
      </w:r>
      <w:r w:rsidR="00E369D4" w:rsidRPr="00B826EA">
        <w:t xml:space="preserve">The opportunity </w:t>
      </w:r>
      <w:r w:rsidR="00AF1884" w:rsidRPr="00B826EA">
        <w:t>afforded</w:t>
      </w:r>
      <w:r w:rsidR="00E369D4" w:rsidRPr="00B826EA">
        <w:t xml:space="preserve"> by the Bill </w:t>
      </w:r>
      <w:r w:rsidR="00266AF8">
        <w:t>must</w:t>
      </w:r>
      <w:r w:rsidR="00E369D4" w:rsidRPr="00B826EA">
        <w:t xml:space="preserve"> be used to provide </w:t>
      </w:r>
      <w:r w:rsidR="00AF1884" w:rsidRPr="00B826EA">
        <w:t xml:space="preserve">absolute certainty for </w:t>
      </w:r>
      <w:r w:rsidR="00E369D4" w:rsidRPr="00B826EA">
        <w:t>people with a disability</w:t>
      </w:r>
      <w:r w:rsidR="00AF1884" w:rsidRPr="00B826EA">
        <w:t xml:space="preserve"> when convert</w:t>
      </w:r>
      <w:r w:rsidR="00B826EA">
        <w:t>ing</w:t>
      </w:r>
      <w:r w:rsidR="00AF1884" w:rsidRPr="00B826EA">
        <w:t xml:space="preserve"> </w:t>
      </w:r>
      <w:r w:rsidR="00B826EA">
        <w:t xml:space="preserve">content into </w:t>
      </w:r>
      <w:r w:rsidR="00AF1884" w:rsidRPr="00B826EA">
        <w:t>accessible format</w:t>
      </w:r>
      <w:r w:rsidR="00B826EA">
        <w:t>s</w:t>
      </w:r>
      <w:r w:rsidR="00AF1884" w:rsidRPr="00B826EA">
        <w:t xml:space="preserve"> that they can </w:t>
      </w:r>
      <w:r w:rsidR="00076EA3" w:rsidRPr="00B826EA">
        <w:t>read</w:t>
      </w:r>
      <w:r w:rsidR="00AF1884" w:rsidRPr="00B826EA">
        <w:t xml:space="preserve">. Our preferred approach for doing this is </w:t>
      </w:r>
      <w:r w:rsidR="00544D43" w:rsidRPr="00B826EA">
        <w:t xml:space="preserve">to replace </w:t>
      </w:r>
      <w:proofErr w:type="gramStart"/>
      <w:r w:rsidR="00544D43" w:rsidRPr="00B826EA">
        <w:t>S200AB(</w:t>
      </w:r>
      <w:proofErr w:type="gramEnd"/>
      <w:r w:rsidR="00544D43" w:rsidRPr="00B826EA">
        <w:t xml:space="preserve">4) with </w:t>
      </w:r>
      <w:r w:rsidR="00AF1884" w:rsidRPr="00B826EA">
        <w:t xml:space="preserve">a specific exception, </w:t>
      </w:r>
      <w:r w:rsidR="00076EA3" w:rsidRPr="00B826EA">
        <w:t>similar to</w:t>
      </w:r>
      <w:r w:rsidR="00AF1884" w:rsidRPr="00B826EA">
        <w:t xml:space="preserve"> that provided in the UK Copyright (</w:t>
      </w:r>
      <w:r w:rsidR="00C22CA5" w:rsidRPr="00B826EA">
        <w:t xml:space="preserve">Visually Impaired Persons) Act 2002. This exception allows a person who is blind </w:t>
      </w:r>
      <w:r w:rsidR="00C22CA5" w:rsidRPr="00B826EA">
        <w:lastRenderedPageBreak/>
        <w:t xml:space="preserve">or has low vision to produce a "one for one" accessible copy of anything to which they have legitimate access. </w:t>
      </w:r>
      <w:r w:rsidR="00B826EA">
        <w:t>Further there</w:t>
      </w:r>
      <w:r w:rsidR="00C22CA5" w:rsidRPr="00B826EA">
        <w:t xml:space="preserve"> is no </w:t>
      </w:r>
      <w:r w:rsidR="00076EA3" w:rsidRPr="00B826EA">
        <w:t xml:space="preserve">requirement </w:t>
      </w:r>
      <w:r w:rsidR="00C22CA5" w:rsidRPr="00B826EA">
        <w:t xml:space="preserve">to rely on a Fair Dealing exception that </w:t>
      </w:r>
      <w:r w:rsidR="00B826EA">
        <w:t>will be</w:t>
      </w:r>
      <w:r w:rsidR="00C22CA5" w:rsidRPr="00B826EA">
        <w:t xml:space="preserve"> subject to interpretation.</w:t>
      </w:r>
    </w:p>
    <w:p w:rsidR="00C22CA5" w:rsidRPr="00B826EA" w:rsidRDefault="00C22CA5" w:rsidP="00575ACE">
      <w:r w:rsidRPr="00B826EA">
        <w:t xml:space="preserve">Another, less preferred option, would be to provide examples of how the Fair Dealing </w:t>
      </w:r>
      <w:r w:rsidR="00010276" w:rsidRPr="00B826EA">
        <w:t>provision</w:t>
      </w:r>
      <w:r w:rsidRPr="00B826EA">
        <w:t xml:space="preserve"> is intended to apply to disability access. This could be done in the Explanatory Memorandum or in other guidance material.</w:t>
      </w:r>
    </w:p>
    <w:p w:rsidR="00010276" w:rsidRPr="00B826EA" w:rsidRDefault="00010276" w:rsidP="00575ACE"/>
    <w:p w:rsidR="00010276" w:rsidRPr="00B826EA" w:rsidRDefault="00A12312" w:rsidP="00A12312">
      <w:pPr>
        <w:pStyle w:val="Heading2"/>
        <w:rPr>
          <w:rFonts w:asciiTheme="minorHAnsi" w:hAnsiTheme="minorHAnsi"/>
        </w:rPr>
      </w:pPr>
      <w:r w:rsidRPr="00B826EA">
        <w:rPr>
          <w:rFonts w:asciiTheme="minorHAnsi" w:hAnsiTheme="minorHAnsi"/>
        </w:rPr>
        <w:t xml:space="preserve">Commercial </w:t>
      </w:r>
      <w:r w:rsidR="0002039D" w:rsidRPr="00B826EA">
        <w:rPr>
          <w:rFonts w:asciiTheme="minorHAnsi" w:hAnsiTheme="minorHAnsi"/>
        </w:rPr>
        <w:t>Availability</w:t>
      </w:r>
      <w:r w:rsidRPr="00B826EA">
        <w:rPr>
          <w:rFonts w:asciiTheme="minorHAnsi" w:hAnsiTheme="minorHAnsi"/>
        </w:rPr>
        <w:t xml:space="preserve"> Test</w:t>
      </w:r>
    </w:p>
    <w:p w:rsidR="00A12312" w:rsidRPr="00B826EA" w:rsidRDefault="00A12312" w:rsidP="00A12312"/>
    <w:p w:rsidR="00266AF8" w:rsidRDefault="00DD6405" w:rsidP="00A12312">
      <w:r>
        <w:t>Vision Australia is the largest provider of library materials in accessible formats in Australia, with 16,000 borrowers who are blind</w:t>
      </w:r>
      <w:r w:rsidR="00266AF8">
        <w:t xml:space="preserve"> or</w:t>
      </w:r>
      <w:r>
        <w:t xml:space="preserve"> have low vision. We produce around 500 titles per year in a number of accessible formats, including DAISY </w:t>
      </w:r>
      <w:r w:rsidR="003A5A08">
        <w:t xml:space="preserve">(structured) </w:t>
      </w:r>
      <w:r>
        <w:t xml:space="preserve">audio and braille. </w:t>
      </w:r>
    </w:p>
    <w:p w:rsidR="003A5A08" w:rsidRDefault="00453A30" w:rsidP="00A12312">
      <w:r>
        <w:t>At present the requirement to apply the commercial availability test is a significant barrier to the efficient production of materials in accessible formats, results in excessive production delays, squanders resources, and greatly restricts the range of materials that we are able to make available to borrowers in accessible formats.</w:t>
      </w:r>
    </w:p>
    <w:p w:rsidR="007F7035" w:rsidRDefault="002543A3" w:rsidP="00A12312">
      <w:r>
        <w:t xml:space="preserve">A major flaw in the current commercial availability test is that it </w:t>
      </w:r>
      <w:r w:rsidR="00D81C89">
        <w:t>prevents</w:t>
      </w:r>
      <w:r>
        <w:t xml:space="preserve"> us from producing a title in an accessible format if it is commercially </w:t>
      </w:r>
      <w:r w:rsidR="00D81C89">
        <w:t>available</w:t>
      </w:r>
      <w:r>
        <w:t xml:space="preserve"> in any </w:t>
      </w:r>
      <w:r w:rsidR="00B3515C">
        <w:t xml:space="preserve">other </w:t>
      </w:r>
      <w:r>
        <w:t xml:space="preserve">accessible format. For example, if a title is commercially available in audio format, we are prevented by the commercial availability test from producing the same title in hardcopy braille, even though the </w:t>
      </w:r>
      <w:r w:rsidR="00D81C89">
        <w:t>hardcopy</w:t>
      </w:r>
      <w:r>
        <w:t xml:space="preserve"> braille version will never be available commercially. In practice, this </w:t>
      </w:r>
      <w:r w:rsidR="00D81C89">
        <w:t>restriction</w:t>
      </w:r>
      <w:r>
        <w:t xml:space="preserve"> undermines braille literacy and completely excludes certain groups of borrowers, such as people who are deafblind </w:t>
      </w:r>
      <w:r w:rsidR="00D81C89">
        <w:t>and</w:t>
      </w:r>
      <w:r>
        <w:t xml:space="preserve"> who</w:t>
      </w:r>
      <w:r w:rsidR="007F7035">
        <w:t xml:space="preserve"> </w:t>
      </w:r>
      <w:r w:rsidR="00B3515C">
        <w:t xml:space="preserve">therefore </w:t>
      </w:r>
      <w:r w:rsidR="007F7035">
        <w:t xml:space="preserve">cannot listen to </w:t>
      </w:r>
      <w:r w:rsidR="00D81C89">
        <w:t>books</w:t>
      </w:r>
      <w:r w:rsidR="007F7035">
        <w:t xml:space="preserve"> in audio format.</w:t>
      </w:r>
    </w:p>
    <w:p w:rsidR="00634021" w:rsidRPr="006A784D" w:rsidRDefault="007F7035" w:rsidP="00A12312">
      <w:r>
        <w:t>Even when a title is commercially available, the format almost never provides equ</w:t>
      </w:r>
      <w:r w:rsidR="00B3515C">
        <w:t>ivalent</w:t>
      </w:r>
      <w:r>
        <w:t xml:space="preserve"> access for a person who is </w:t>
      </w:r>
      <w:r w:rsidRPr="006A784D">
        <w:t xml:space="preserve">blind or has low vision. </w:t>
      </w:r>
      <w:r w:rsidR="00D81C89" w:rsidRPr="006A784D">
        <w:t>For example</w:t>
      </w:r>
      <w:r w:rsidR="00634021" w:rsidRPr="006A784D">
        <w:t>:</w:t>
      </w:r>
    </w:p>
    <w:p w:rsidR="00634021" w:rsidRPr="006A784D" w:rsidRDefault="00E02114" w:rsidP="00634021">
      <w:pPr>
        <w:pStyle w:val="ListParagraph"/>
        <w:numPr>
          <w:ilvl w:val="0"/>
          <w:numId w:val="8"/>
        </w:numPr>
        <w:rPr>
          <w:rFonts w:asciiTheme="minorHAnsi" w:hAnsiTheme="minorHAnsi"/>
          <w:sz w:val="22"/>
          <w:szCs w:val="22"/>
        </w:rPr>
      </w:pPr>
      <w:r>
        <w:rPr>
          <w:rFonts w:asciiTheme="minorHAnsi" w:hAnsiTheme="minorHAnsi"/>
          <w:sz w:val="22"/>
          <w:szCs w:val="22"/>
        </w:rPr>
        <w:t>T</w:t>
      </w:r>
      <w:r w:rsidR="00D81C89" w:rsidRPr="006A784D">
        <w:rPr>
          <w:rFonts w:asciiTheme="minorHAnsi" w:hAnsiTheme="minorHAnsi"/>
          <w:sz w:val="22"/>
          <w:szCs w:val="22"/>
        </w:rPr>
        <w:t>he CDs of a commercial audio book have no braille or other tactile labelling</w:t>
      </w:r>
      <w:r w:rsidR="00B3515C" w:rsidRPr="006A784D">
        <w:rPr>
          <w:rFonts w:asciiTheme="minorHAnsi" w:hAnsiTheme="minorHAnsi"/>
          <w:sz w:val="22"/>
          <w:szCs w:val="22"/>
        </w:rPr>
        <w:t xml:space="preserve">, which means </w:t>
      </w:r>
      <w:r w:rsidR="00D81C89" w:rsidRPr="006A784D">
        <w:rPr>
          <w:rFonts w:asciiTheme="minorHAnsi" w:hAnsiTheme="minorHAnsi"/>
          <w:sz w:val="22"/>
          <w:szCs w:val="22"/>
        </w:rPr>
        <w:t>that they can</w:t>
      </w:r>
      <w:r w:rsidR="00B3515C" w:rsidRPr="006A784D">
        <w:rPr>
          <w:rFonts w:asciiTheme="minorHAnsi" w:hAnsiTheme="minorHAnsi"/>
          <w:sz w:val="22"/>
          <w:szCs w:val="22"/>
        </w:rPr>
        <w:t>not</w:t>
      </w:r>
      <w:r w:rsidR="00D81C89" w:rsidRPr="006A784D">
        <w:rPr>
          <w:rFonts w:asciiTheme="minorHAnsi" w:hAnsiTheme="minorHAnsi"/>
          <w:sz w:val="22"/>
          <w:szCs w:val="22"/>
        </w:rPr>
        <w:t xml:space="preserve"> be identified by a person who is blind;</w:t>
      </w:r>
    </w:p>
    <w:p w:rsidR="00634021" w:rsidRPr="006A784D" w:rsidRDefault="00E02114" w:rsidP="00634021">
      <w:pPr>
        <w:pStyle w:val="ListParagraph"/>
        <w:numPr>
          <w:ilvl w:val="0"/>
          <w:numId w:val="8"/>
        </w:numPr>
        <w:rPr>
          <w:rFonts w:asciiTheme="minorHAnsi" w:hAnsiTheme="minorHAnsi"/>
          <w:sz w:val="22"/>
          <w:szCs w:val="22"/>
        </w:rPr>
      </w:pPr>
      <w:r>
        <w:rPr>
          <w:rFonts w:asciiTheme="minorHAnsi" w:hAnsiTheme="minorHAnsi"/>
          <w:sz w:val="22"/>
          <w:szCs w:val="22"/>
        </w:rPr>
        <w:t>T</w:t>
      </w:r>
      <w:r w:rsidR="00D81C89" w:rsidRPr="006A784D">
        <w:rPr>
          <w:rFonts w:asciiTheme="minorHAnsi" w:hAnsiTheme="minorHAnsi"/>
          <w:sz w:val="22"/>
          <w:szCs w:val="22"/>
        </w:rPr>
        <w:t>he individual tracks on the CDs do not correspond to natural divisions of the book such as chapters, sections or parts</w:t>
      </w:r>
      <w:r w:rsidR="00B3515C" w:rsidRPr="006A784D">
        <w:rPr>
          <w:rFonts w:asciiTheme="minorHAnsi" w:hAnsiTheme="minorHAnsi"/>
          <w:sz w:val="22"/>
          <w:szCs w:val="22"/>
        </w:rPr>
        <w:t>, which means that a person who is blind cannot locate a particular chapter</w:t>
      </w:r>
      <w:r w:rsidR="00634021" w:rsidRPr="006A784D">
        <w:rPr>
          <w:rFonts w:asciiTheme="minorHAnsi" w:hAnsiTheme="minorHAnsi"/>
          <w:sz w:val="22"/>
          <w:szCs w:val="22"/>
        </w:rPr>
        <w:t>,</w:t>
      </w:r>
      <w:r w:rsidR="00B3515C" w:rsidRPr="006A784D">
        <w:rPr>
          <w:rFonts w:asciiTheme="minorHAnsi" w:hAnsiTheme="minorHAnsi"/>
          <w:sz w:val="22"/>
          <w:szCs w:val="22"/>
        </w:rPr>
        <w:t xml:space="preserve"> and cannot easily resume reading once the CD is stopped</w:t>
      </w:r>
      <w:r w:rsidR="00634021" w:rsidRPr="006A784D">
        <w:rPr>
          <w:rFonts w:asciiTheme="minorHAnsi" w:hAnsiTheme="minorHAnsi"/>
          <w:sz w:val="22"/>
          <w:szCs w:val="22"/>
        </w:rPr>
        <w:t>;</w:t>
      </w:r>
    </w:p>
    <w:p w:rsidR="00C846F3" w:rsidRPr="006A784D" w:rsidRDefault="00C846F3" w:rsidP="00634021">
      <w:pPr>
        <w:pStyle w:val="ListParagraph"/>
        <w:numPr>
          <w:ilvl w:val="0"/>
          <w:numId w:val="8"/>
        </w:numPr>
        <w:rPr>
          <w:rFonts w:asciiTheme="minorHAnsi" w:hAnsiTheme="minorHAnsi"/>
          <w:sz w:val="22"/>
          <w:szCs w:val="22"/>
        </w:rPr>
      </w:pPr>
      <w:r w:rsidRPr="006A784D">
        <w:rPr>
          <w:rFonts w:asciiTheme="minorHAnsi" w:hAnsiTheme="minorHAnsi"/>
          <w:sz w:val="22"/>
          <w:szCs w:val="22"/>
        </w:rPr>
        <w:t>There is no information provided about the spelling of proper names, which denies a person who is blind or has low vision basic information that is available to every print reader and can cause feelings of embarrassment or humiliation when writing to friends or colleagues about the books they are reading;</w:t>
      </w:r>
    </w:p>
    <w:p w:rsidR="0098599A" w:rsidRDefault="00E02114" w:rsidP="00634021">
      <w:pPr>
        <w:pStyle w:val="ListParagraph"/>
        <w:numPr>
          <w:ilvl w:val="0"/>
          <w:numId w:val="8"/>
        </w:numPr>
        <w:rPr>
          <w:rFonts w:asciiTheme="minorHAnsi" w:hAnsiTheme="minorHAnsi"/>
          <w:sz w:val="22"/>
          <w:szCs w:val="22"/>
        </w:rPr>
      </w:pPr>
      <w:r>
        <w:rPr>
          <w:rFonts w:asciiTheme="minorHAnsi" w:hAnsiTheme="minorHAnsi"/>
          <w:sz w:val="22"/>
          <w:szCs w:val="22"/>
        </w:rPr>
        <w:t>T</w:t>
      </w:r>
      <w:r w:rsidR="00D81C89" w:rsidRPr="006A784D">
        <w:rPr>
          <w:rFonts w:asciiTheme="minorHAnsi" w:hAnsiTheme="minorHAnsi"/>
          <w:sz w:val="22"/>
          <w:szCs w:val="22"/>
        </w:rPr>
        <w:t>here is no information given about page numbers in the original print version, so it is impossible for a person who is blind or has low vision to make meaningful references in discussions with others or when quoting from the book as part of a school</w:t>
      </w:r>
      <w:r w:rsidR="00135FA6" w:rsidRPr="006A784D">
        <w:rPr>
          <w:rFonts w:asciiTheme="minorHAnsi" w:hAnsiTheme="minorHAnsi"/>
          <w:sz w:val="22"/>
          <w:szCs w:val="22"/>
        </w:rPr>
        <w:t xml:space="preserve"> essay or university assignment.</w:t>
      </w:r>
    </w:p>
    <w:p w:rsidR="006A784D" w:rsidRPr="006A784D" w:rsidRDefault="006A784D" w:rsidP="006A784D">
      <w:pPr>
        <w:pStyle w:val="ListParagraph"/>
        <w:ind w:left="360" w:firstLine="0"/>
        <w:rPr>
          <w:rFonts w:asciiTheme="minorHAnsi" w:hAnsiTheme="minorHAnsi"/>
          <w:sz w:val="22"/>
          <w:szCs w:val="22"/>
        </w:rPr>
      </w:pPr>
    </w:p>
    <w:p w:rsidR="00135FA6" w:rsidRDefault="0098599A" w:rsidP="00A12312">
      <w:r>
        <w:t>No print reader would accept this degra</w:t>
      </w:r>
      <w:r w:rsidR="00D2130D">
        <w:t>d</w:t>
      </w:r>
      <w:r>
        <w:t xml:space="preserve">ed </w:t>
      </w:r>
      <w:r w:rsidR="00135FA6">
        <w:t xml:space="preserve">quality of </w:t>
      </w:r>
      <w:r>
        <w:t xml:space="preserve">access as their only means of </w:t>
      </w:r>
      <w:r w:rsidR="00135FA6">
        <w:t>reading</w:t>
      </w:r>
      <w:r>
        <w:t xml:space="preserve"> recreational or educational </w:t>
      </w:r>
      <w:r w:rsidR="00135FA6">
        <w:t>m</w:t>
      </w:r>
      <w:r>
        <w:t>aterial</w:t>
      </w:r>
      <w:r w:rsidR="00D2130D">
        <w:t xml:space="preserve">. But the commercial availability test means that people who are blind or have low vision are </w:t>
      </w:r>
      <w:r w:rsidR="00135FA6">
        <w:t xml:space="preserve">often </w:t>
      </w:r>
      <w:r w:rsidR="00D2130D">
        <w:t xml:space="preserve">given no other choice. It is hardly surprising that many people </w:t>
      </w:r>
      <w:r w:rsidR="00135FA6">
        <w:t xml:space="preserve">who are blind or have low vision </w:t>
      </w:r>
      <w:r w:rsidR="00D2130D">
        <w:t>choose not to read commercially-available audio.</w:t>
      </w:r>
    </w:p>
    <w:p w:rsidR="00D2130D" w:rsidRDefault="00D81C89" w:rsidP="00A12312">
      <w:r>
        <w:t>So in practice the commercial availability test does nothing to promote the interests of authors and copyright holders</w:t>
      </w:r>
      <w:r w:rsidR="00135FA6">
        <w:t>,</w:t>
      </w:r>
      <w:r>
        <w:t xml:space="preserve"> and actually makes their works less available.</w:t>
      </w:r>
    </w:p>
    <w:p w:rsidR="00CF0870" w:rsidRDefault="00D2130D" w:rsidP="00A12312">
      <w:r>
        <w:t xml:space="preserve">Another major flaw in the current commercial availability test is that it </w:t>
      </w:r>
      <w:r w:rsidR="00CF0870">
        <w:t xml:space="preserve">prevents us from producing a title in an accessible format even if a publisher only have plans to make the title commercially available at a future time. In some cases, publishers have advised us that </w:t>
      </w:r>
      <w:r w:rsidR="00135FA6">
        <w:t xml:space="preserve">they </w:t>
      </w:r>
      <w:r w:rsidR="00CF0870">
        <w:t xml:space="preserve">will be producing a title in an audio format, but then, a year later, they advise that they no longer have plans to make the title commercially available. Such a delay means that people who are blind or have low vision are </w:t>
      </w:r>
      <w:r w:rsidR="00233095">
        <w:t>excluded from reading</w:t>
      </w:r>
      <w:r w:rsidR="00CF0870">
        <w:t xml:space="preserve"> books that the rest of the community have been able to read for the past year.</w:t>
      </w:r>
    </w:p>
    <w:p w:rsidR="0063354D" w:rsidRDefault="0063354D" w:rsidP="00A12312">
      <w:r>
        <w:lastRenderedPageBreak/>
        <w:t xml:space="preserve">Recently </w:t>
      </w:r>
      <w:r w:rsidR="00E02114">
        <w:t>Vision Australia’s library</w:t>
      </w:r>
      <w:r>
        <w:t xml:space="preserve"> h</w:t>
      </w:r>
      <w:r w:rsidR="00123CDB">
        <w:t xml:space="preserve">ad </w:t>
      </w:r>
      <w:r w:rsidR="00D81C89">
        <w:t>completed</w:t>
      </w:r>
      <w:r w:rsidR="00123CDB">
        <w:t xml:space="preserve"> 80% of the production of a ti</w:t>
      </w:r>
      <w:r w:rsidR="00233095">
        <w:t>t</w:t>
      </w:r>
      <w:r w:rsidR="00123CDB">
        <w:t>le in DAISY audio format when the publisher of the print version advised</w:t>
      </w:r>
      <w:r w:rsidR="00E02114">
        <w:t xml:space="preserve"> the library</w:t>
      </w:r>
      <w:r w:rsidR="00123CDB">
        <w:t xml:space="preserve"> that they had given the audio rights to another </w:t>
      </w:r>
      <w:r w:rsidR="00233095">
        <w:t>publisher,</w:t>
      </w:r>
      <w:r w:rsidR="00123CDB">
        <w:t xml:space="preserve"> and that </w:t>
      </w:r>
      <w:r w:rsidR="00E02114">
        <w:t>they</w:t>
      </w:r>
      <w:r w:rsidR="00123CDB">
        <w:t xml:space="preserve"> therefore </w:t>
      </w:r>
      <w:r w:rsidR="00233095">
        <w:t>must</w:t>
      </w:r>
      <w:r w:rsidR="00123CDB">
        <w:t xml:space="preserve"> cease production. </w:t>
      </w:r>
      <w:r w:rsidR="00E02114">
        <w:t>The library contacted the other publisher and was</w:t>
      </w:r>
      <w:r w:rsidR="00123CDB">
        <w:t xml:space="preserve"> told that they had no plans to produce the title in DAISY audio format. Nevertheless, </w:t>
      </w:r>
      <w:r w:rsidR="00E02114">
        <w:t>the library</w:t>
      </w:r>
      <w:r w:rsidR="00123CDB">
        <w:t xml:space="preserve"> </w:t>
      </w:r>
      <w:r w:rsidR="00E02114">
        <w:t xml:space="preserve">was </w:t>
      </w:r>
      <w:r w:rsidR="00123CDB">
        <w:t xml:space="preserve">required by the original </w:t>
      </w:r>
      <w:r w:rsidR="00E02114">
        <w:t>publisher,</w:t>
      </w:r>
      <w:r w:rsidR="00233095">
        <w:t xml:space="preserve"> pursuant to the commercial </w:t>
      </w:r>
      <w:r w:rsidR="00453A30">
        <w:t>availability</w:t>
      </w:r>
      <w:r w:rsidR="00233095">
        <w:t xml:space="preserve"> test, </w:t>
      </w:r>
      <w:r w:rsidR="00123CDB">
        <w:t xml:space="preserve">to cease production. This meant not only that several thousand dollars of </w:t>
      </w:r>
      <w:r w:rsidR="00800622">
        <w:t xml:space="preserve">our </w:t>
      </w:r>
      <w:r w:rsidR="00123CDB">
        <w:t xml:space="preserve">staff time and resources </w:t>
      </w:r>
      <w:r w:rsidR="00800622">
        <w:t>had been completely wasted</w:t>
      </w:r>
      <w:r w:rsidR="00123CDB">
        <w:t xml:space="preserve">, but </w:t>
      </w:r>
      <w:r w:rsidR="00800622">
        <w:t>also that people with a disability will now be unable to read that particular title in an accessible format th</w:t>
      </w:r>
      <w:r w:rsidR="00233095">
        <w:t>at</w:t>
      </w:r>
      <w:r w:rsidR="00800622">
        <w:t xml:space="preserve"> gives them equal access. In this case, the commercial availability test again created an insurmountable barrier to access</w:t>
      </w:r>
      <w:r w:rsidR="00233095">
        <w:t>,</w:t>
      </w:r>
      <w:r w:rsidR="00800622">
        <w:t xml:space="preserve"> and did nothing to promote the interests of the copyright holder.</w:t>
      </w:r>
    </w:p>
    <w:p w:rsidR="00CF41B3" w:rsidRDefault="00800622" w:rsidP="00A12312">
      <w:r>
        <w:t xml:space="preserve">In view of the burdensome, inequitable, wasteful and discriminatory </w:t>
      </w:r>
      <w:r w:rsidR="003F400B">
        <w:t>nature of</w:t>
      </w:r>
      <w:r>
        <w:t xml:space="preserve"> the current form of the commercial availability test, w</w:t>
      </w:r>
      <w:r w:rsidR="00A12312" w:rsidRPr="00B826EA">
        <w:t xml:space="preserve">e very much welcome the </w:t>
      </w:r>
      <w:r w:rsidR="0035011F">
        <w:t>c</w:t>
      </w:r>
      <w:r w:rsidR="00D8742B" w:rsidRPr="00B826EA">
        <w:t>hange</w:t>
      </w:r>
      <w:r w:rsidR="0035011F">
        <w:t>s that are proposed in the Bill.</w:t>
      </w:r>
      <w:r w:rsidR="00D8742B" w:rsidRPr="00B826EA">
        <w:t xml:space="preserve"> </w:t>
      </w:r>
      <w:r w:rsidR="0035011F">
        <w:t>Once the changes have been legislated, the commercial availability test will</w:t>
      </w:r>
      <w:r w:rsidR="00D8742B" w:rsidRPr="00B826EA">
        <w:t xml:space="preserve"> </w:t>
      </w:r>
      <w:r w:rsidR="0035011F">
        <w:t xml:space="preserve">apply </w:t>
      </w:r>
      <w:r w:rsidR="00D8742B" w:rsidRPr="00B826EA">
        <w:t>to the specific accessible format required by a person with a disability</w:t>
      </w:r>
      <w:r w:rsidR="00CF41B3">
        <w:t>, and not to accessible formats in general</w:t>
      </w:r>
      <w:r w:rsidR="00D8742B" w:rsidRPr="00B826EA">
        <w:t>.</w:t>
      </w:r>
      <w:r w:rsidR="0002039D" w:rsidRPr="00B826EA">
        <w:t xml:space="preserve"> </w:t>
      </w:r>
      <w:r w:rsidR="00D81C89">
        <w:t>So</w:t>
      </w:r>
      <w:r w:rsidR="00023A99">
        <w:t>, for example,</w:t>
      </w:r>
      <w:r w:rsidR="00D81C89">
        <w:t xml:space="preserve"> if a title is not commercially available in hardcopy braille, Vision Australia will be able to produce that title in hardcopy braille even if the title is commercially available in audio format. </w:t>
      </w:r>
      <w:r w:rsidR="00CF41B3">
        <w:t xml:space="preserve">This change will have substantial benefits for us as a provider of library services, and also for people with a disability. Failure to make the proposed changes will result in the continuation of a significant </w:t>
      </w:r>
      <w:r w:rsidR="00023A99">
        <w:t xml:space="preserve">and long-standing </w:t>
      </w:r>
      <w:r w:rsidR="00CF41B3">
        <w:t xml:space="preserve">barrier to equivalent </w:t>
      </w:r>
      <w:r w:rsidR="0007343C">
        <w:t>access</w:t>
      </w:r>
      <w:r w:rsidR="00CF41B3">
        <w:t xml:space="preserve">, and will be incompatible with the principles of equality of access </w:t>
      </w:r>
      <w:r w:rsidR="001F167A">
        <w:t xml:space="preserve">that </w:t>
      </w:r>
      <w:r w:rsidR="00CF41B3">
        <w:t xml:space="preserve">underpin the Marrakesh Treaty. </w:t>
      </w:r>
    </w:p>
    <w:p w:rsidR="00A12312" w:rsidRPr="00B826EA" w:rsidRDefault="0007343C" w:rsidP="00A12312">
      <w:r>
        <w:t xml:space="preserve">Our extensive experience interacting with publishers has shown that publishers often have a very limited understanding of the needs of people with a disability, the characteristics and </w:t>
      </w:r>
      <w:r w:rsidR="00023A99">
        <w:t>benefits of</w:t>
      </w:r>
      <w:r>
        <w:t xml:space="preserve"> the various accessible formats, and of why formats such as commercial audio rarely provide equivalent access for people with a disability. </w:t>
      </w:r>
      <w:r w:rsidR="00B616E4" w:rsidRPr="00B826EA">
        <w:t>We therefore believe that mo</w:t>
      </w:r>
      <w:r w:rsidR="006D6062" w:rsidRPr="00B826EA">
        <w:t>r</w:t>
      </w:r>
      <w:r w:rsidR="00110F6A">
        <w:t>e guidance and illustrative material would be valuable as an accompaniment to the proposed changes.</w:t>
      </w:r>
      <w:r w:rsidR="00B616E4" w:rsidRPr="00B826EA">
        <w:t xml:space="preserve"> </w:t>
      </w:r>
    </w:p>
    <w:p w:rsidR="00B53E73" w:rsidRPr="00B826EA" w:rsidRDefault="00B53E73" w:rsidP="00A12312">
      <w:r w:rsidRPr="00B826EA">
        <w:t>It is also important to note that even if a title is commercially available in a format that is usable by a person with a disability, it still may not provide equal access because of the high cost of purchasing it. For example, a person without a disability may be able to purchase the print version of a title for $25, but the audio version available may cost a person with a disability $100. Equal access is not just about access to the content, but also includes the terms on which that access is provided.</w:t>
      </w:r>
    </w:p>
    <w:p w:rsidR="00B616E4" w:rsidRPr="00B826EA" w:rsidRDefault="00B616E4" w:rsidP="00A12312">
      <w:r w:rsidRPr="00B826EA">
        <w:t xml:space="preserve">In our 2014 submission we drew attention to the possible negative impact of the commercial availability test on international and legitimate organisations such as Bookshare, who have substantial </w:t>
      </w:r>
      <w:r w:rsidR="0002039D" w:rsidRPr="00B826EA">
        <w:t>collections</w:t>
      </w:r>
      <w:r w:rsidRPr="00B826EA">
        <w:t xml:space="preserve"> of electronic books. </w:t>
      </w:r>
      <w:r w:rsidR="00201A3B" w:rsidRPr="00B826EA">
        <w:t xml:space="preserve">At present Bookshare is the largest </w:t>
      </w:r>
      <w:r w:rsidR="009D5BDA" w:rsidRPr="00B826EA">
        <w:t>organisation</w:t>
      </w:r>
      <w:r w:rsidR="00201A3B" w:rsidRPr="00B826EA">
        <w:t xml:space="preserve"> of this kind, with a collection of 290,000 books that are available to US citizens who have a print disability. </w:t>
      </w:r>
      <w:r w:rsidR="009D5BDA" w:rsidRPr="00B826EA">
        <w:t xml:space="preserve">Bookshare is </w:t>
      </w:r>
      <w:r w:rsidR="00B826EA">
        <w:t xml:space="preserve">only </w:t>
      </w:r>
      <w:r w:rsidR="009D5BDA" w:rsidRPr="00B826EA">
        <w:t>able to make titles available to other countries where publishers have given specific permission. Currently</w:t>
      </w:r>
      <w:r w:rsidR="00201A3B" w:rsidRPr="00B826EA">
        <w:t xml:space="preserve">, people </w:t>
      </w:r>
      <w:r w:rsidR="009D5BDA" w:rsidRPr="00B826EA">
        <w:t>with</w:t>
      </w:r>
      <w:r w:rsidR="00201A3B" w:rsidRPr="00B826EA">
        <w:t xml:space="preserve"> a print disability in </w:t>
      </w:r>
      <w:r w:rsidR="009D5BDA" w:rsidRPr="00B826EA">
        <w:t>Australia</w:t>
      </w:r>
      <w:r w:rsidR="00201A3B" w:rsidRPr="00B826EA">
        <w:t xml:space="preserve"> can </w:t>
      </w:r>
      <w:r w:rsidR="00B826EA">
        <w:t>access 193,000 Bookshare titles;</w:t>
      </w:r>
      <w:r w:rsidR="00201A3B" w:rsidRPr="00B826EA">
        <w:t xml:space="preserve"> the lowest number of any country.</w:t>
      </w:r>
    </w:p>
    <w:p w:rsidR="00201A3B" w:rsidRPr="00B826EA" w:rsidRDefault="00201A3B" w:rsidP="00A12312">
      <w:r w:rsidRPr="00B826EA">
        <w:t xml:space="preserve">The Marrakesh Treaty will clear the way for Bookshare to make its entire </w:t>
      </w:r>
      <w:r w:rsidR="009D5BDA" w:rsidRPr="00B826EA">
        <w:t>collection</w:t>
      </w:r>
      <w:r w:rsidRPr="00B826EA">
        <w:t xml:space="preserve"> available to people in Australia who have a disability. However, the commercial availability test may prevent this </w:t>
      </w:r>
      <w:r w:rsidR="00973759" w:rsidRPr="00B826EA">
        <w:t xml:space="preserve">international </w:t>
      </w:r>
      <w:r w:rsidRPr="00B826EA">
        <w:t>sharing</w:t>
      </w:r>
      <w:r w:rsidR="00973759" w:rsidRPr="00B826EA">
        <w:t xml:space="preserve"> of accessible books</w:t>
      </w:r>
      <w:r w:rsidRPr="00B826EA">
        <w:t xml:space="preserve">. Bookshare have told us that they cannot </w:t>
      </w:r>
      <w:r w:rsidR="00A609A3" w:rsidRPr="00B826EA">
        <w:t xml:space="preserve">reasonably </w:t>
      </w:r>
      <w:r w:rsidRPr="00B826EA">
        <w:t xml:space="preserve">comply </w:t>
      </w:r>
      <w:r w:rsidR="00A609A3" w:rsidRPr="00B826EA">
        <w:t xml:space="preserve">with the requirements of the commercial availability test, and so may be unable to make </w:t>
      </w:r>
      <w:r w:rsidR="006D6062" w:rsidRPr="00B826EA">
        <w:t>their</w:t>
      </w:r>
      <w:r w:rsidR="00A609A3" w:rsidRPr="00B826EA">
        <w:t xml:space="preserve"> entire collection available. Moreover, Bookshare may have to withdraw access to those titles which are currently available in Australia once the Marrakesh Treaty comes into effect. If this were to occur, people with a disability in Australia would have access to fewer books than they do at present. </w:t>
      </w:r>
      <w:r w:rsidR="0002039D" w:rsidRPr="00B826EA">
        <w:t>This would certainly thwart the purpose of the Treaty, and we strongly recommend that the Department give further consideration to this matter</w:t>
      </w:r>
      <w:r w:rsidR="006D6062" w:rsidRPr="00B826EA">
        <w:t>,</w:t>
      </w:r>
      <w:r w:rsidR="0002039D" w:rsidRPr="00B826EA">
        <w:t xml:space="preserve"> with a view to ensuring that Bookshare and similar organisations are able to make their collections available in Australia</w:t>
      </w:r>
      <w:r w:rsidR="00B826EA">
        <w:t>,</w:t>
      </w:r>
      <w:r w:rsidR="0002039D" w:rsidRPr="00B826EA">
        <w:t xml:space="preserve"> without the need to comply with the commercial availability test.</w:t>
      </w:r>
    </w:p>
    <w:p w:rsidR="006A784D" w:rsidRDefault="006A784D">
      <w:pPr>
        <w:spacing w:after="0" w:line="240" w:lineRule="auto"/>
      </w:pPr>
      <w:r>
        <w:br w:type="page"/>
      </w:r>
    </w:p>
    <w:p w:rsidR="0082740B" w:rsidRDefault="0082740B" w:rsidP="0082740B">
      <w:pPr>
        <w:pStyle w:val="Heading2"/>
      </w:pPr>
      <w:r>
        <w:lastRenderedPageBreak/>
        <w:t xml:space="preserve">Expansion of </w:t>
      </w:r>
      <w:r w:rsidR="00023A99">
        <w:t xml:space="preserve">the </w:t>
      </w:r>
      <w:r>
        <w:t>"Safe Harbour" Scheme</w:t>
      </w:r>
    </w:p>
    <w:p w:rsidR="0082740B" w:rsidRDefault="0082740B" w:rsidP="0082740B"/>
    <w:p w:rsidR="0082740B" w:rsidRDefault="008A7A80" w:rsidP="0082740B">
      <w:r>
        <w:t>The ongoing development of the internet and its associated technologies, the increasing convergence of telecommunications, broadcasting and publishing, and the deployment of high-speed delivery channels such as the National Broadband Network, combine to offer unprecedented opportunities for Vision Australia</w:t>
      </w:r>
      <w:r w:rsidR="00023A99">
        <w:t>,</w:t>
      </w:r>
      <w:r>
        <w:t xml:space="preserve"> and other organisations assisting people with a disability</w:t>
      </w:r>
      <w:r w:rsidR="00023A99">
        <w:t>,</w:t>
      </w:r>
      <w:r>
        <w:t xml:space="preserve"> to develop new online services and distribute existing library materials in more efficient and cost-effective ways. A significant number of books, magazines, newspapers and sheet music titles are now available for download in DAISY audio format or electronic braille from the Vision Australia library, and we are in the process of developing an online Client Portal that will facilitate communication among clients and between clients and Vision Australia.</w:t>
      </w:r>
    </w:p>
    <w:p w:rsidR="00D210F3" w:rsidRDefault="00D210F3" w:rsidP="0082740B">
      <w:r>
        <w:t xml:space="preserve">A key concern for us in the development of our online services is </w:t>
      </w:r>
      <w:r w:rsidR="00947D2F">
        <w:t xml:space="preserve">that they do not infringe copyright law, and that our secondary liability is limited as far as </w:t>
      </w:r>
      <w:r w:rsidR="00CD14B0">
        <w:t xml:space="preserve">reasonably </w:t>
      </w:r>
      <w:r w:rsidR="00947D2F">
        <w:t xml:space="preserve">possible. </w:t>
      </w:r>
      <w:r w:rsidR="008A7A80">
        <w:t xml:space="preserve">The "Safe Harbour" scheme contained in Part V, Division 2AA of the Copyright Act 1968 does </w:t>
      </w:r>
      <w:r w:rsidR="00CD14B0">
        <w:t xml:space="preserve">offer some protection in this area, by </w:t>
      </w:r>
      <w:r w:rsidR="008A7A80">
        <w:t>provid</w:t>
      </w:r>
      <w:r w:rsidR="00CD14B0">
        <w:t>ing</w:t>
      </w:r>
      <w:r w:rsidR="008A7A80">
        <w:t xml:space="preserve"> </w:t>
      </w:r>
      <w:r w:rsidR="00CD14B0">
        <w:t xml:space="preserve">some </w:t>
      </w:r>
      <w:r w:rsidR="008A7A80">
        <w:t xml:space="preserve">limitation of remedies available against carriage service providers, but it </w:t>
      </w:r>
      <w:r w:rsidR="00CD14B0">
        <w:t xml:space="preserve">is </w:t>
      </w:r>
      <w:r w:rsidR="008A7A80">
        <w:t xml:space="preserve">based on a definition of </w:t>
      </w:r>
      <w:r w:rsidR="00CD14B0">
        <w:t>"</w:t>
      </w:r>
      <w:r w:rsidR="008A7A80">
        <w:t>Carriage Service provider</w:t>
      </w:r>
      <w:r w:rsidR="00CD14B0">
        <w:t>"</w:t>
      </w:r>
      <w:r w:rsidR="008A7A80">
        <w:t xml:space="preserve"> contained in S87 of the Telecommunications Act 1997. </w:t>
      </w:r>
      <w:r w:rsidR="009B1EEB">
        <w:t xml:space="preserve">The online services that are or will be provided by Vision </w:t>
      </w:r>
      <w:r w:rsidR="008A7A80">
        <w:t>Australia</w:t>
      </w:r>
      <w:r w:rsidR="009B1EEB">
        <w:t xml:space="preserve"> may not meet the requirements of this definition.</w:t>
      </w:r>
    </w:p>
    <w:p w:rsidR="00CD14B0" w:rsidRDefault="009B1EEB" w:rsidP="0082740B">
      <w:r>
        <w:t xml:space="preserve">We therefore welcome the proposed expansion of the definition of a service provider, </w:t>
      </w:r>
      <w:r w:rsidR="008A7A80">
        <w:t>including</w:t>
      </w:r>
      <w:r>
        <w:t xml:space="preserve"> the removal of the </w:t>
      </w:r>
      <w:r w:rsidR="008A7A80">
        <w:t>word</w:t>
      </w:r>
      <w:r>
        <w:t xml:space="preserve"> "carriage". We believe this expanded definition will </w:t>
      </w:r>
      <w:r w:rsidR="00CD14B0">
        <w:t>offer</w:t>
      </w:r>
      <w:r>
        <w:t xml:space="preserve"> greater protection as we take advantage of new </w:t>
      </w:r>
      <w:r w:rsidR="008A7A80">
        <w:t>technologies</w:t>
      </w:r>
      <w:r>
        <w:t xml:space="preserve"> and develop our online se</w:t>
      </w:r>
      <w:r w:rsidR="00CD14B0">
        <w:t>rvices.</w:t>
      </w:r>
    </w:p>
    <w:p w:rsidR="009B1EEB" w:rsidRDefault="008A7A80" w:rsidP="0082740B">
      <w:r>
        <w:t>At the same time, the alignment of the proposed definition of "service provider" with those contained in the Trans Pacific Partnership Free Trade Agreement, and the Australia-United Sta</w:t>
      </w:r>
      <w:r w:rsidR="00CD14B0">
        <w:t>t</w:t>
      </w:r>
      <w:r>
        <w:t xml:space="preserve">es Free Trade Agreement, is likely to </w:t>
      </w:r>
      <w:r w:rsidR="00CD14B0">
        <w:t>facilitate</w:t>
      </w:r>
      <w:r>
        <w:t xml:space="preserve"> greater collaboration and sharing of accessible materials between Australia, the US, and other countries in the region. </w:t>
      </w:r>
      <w:r w:rsidR="00692A9D">
        <w:t xml:space="preserve">These activities will promote the </w:t>
      </w:r>
      <w:r>
        <w:t>objects</w:t>
      </w:r>
      <w:r w:rsidR="00692A9D">
        <w:t xml:space="preserve"> of the Marrakesh Treaty by making more reading materials available to people with a disability.</w:t>
      </w:r>
    </w:p>
    <w:p w:rsidR="008A7A80" w:rsidRPr="0082740B" w:rsidRDefault="008A7A80" w:rsidP="0082740B"/>
    <w:sectPr w:rsidR="008A7A80" w:rsidRPr="0082740B" w:rsidSect="0033547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73F" w:rsidRDefault="007D073F" w:rsidP="001837E9">
      <w:pPr>
        <w:spacing w:after="0" w:line="240" w:lineRule="auto"/>
      </w:pPr>
      <w:r>
        <w:separator/>
      </w:r>
    </w:p>
  </w:endnote>
  <w:endnote w:type="continuationSeparator" w:id="0">
    <w:p w:rsidR="007D073F" w:rsidRDefault="007D073F" w:rsidP="00183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C8" w:rsidRPr="00E02114" w:rsidRDefault="00B369C8">
    <w:pPr>
      <w:pStyle w:val="Footer"/>
      <w:rPr>
        <w:rFonts w:asciiTheme="minorHAnsi" w:hAnsiTheme="minorHAnsi"/>
        <w:sz w:val="22"/>
        <w:szCs w:val="22"/>
      </w:rPr>
    </w:pPr>
    <w:r w:rsidRPr="00E02114">
      <w:rPr>
        <w:rFonts w:asciiTheme="minorHAnsi" w:hAnsiTheme="minorHAnsi"/>
        <w:sz w:val="22"/>
        <w:szCs w:val="22"/>
      </w:rPr>
      <w:t>Vision Australia Submission to Department of Communications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73F" w:rsidRDefault="007D073F" w:rsidP="001837E9">
      <w:pPr>
        <w:spacing w:after="0" w:line="240" w:lineRule="auto"/>
      </w:pPr>
      <w:r>
        <w:separator/>
      </w:r>
    </w:p>
  </w:footnote>
  <w:footnote w:type="continuationSeparator" w:id="0">
    <w:p w:rsidR="007D073F" w:rsidRDefault="007D073F" w:rsidP="00183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872"/>
    <w:multiLevelType w:val="hybridMultilevel"/>
    <w:tmpl w:val="7C54025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CB2684A"/>
    <w:multiLevelType w:val="hybridMultilevel"/>
    <w:tmpl w:val="ABD8F36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251876"/>
    <w:multiLevelType w:val="hybridMultilevel"/>
    <w:tmpl w:val="7C88D9AC"/>
    <w:lvl w:ilvl="0" w:tplc="B7C6CD3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244359"/>
    <w:multiLevelType w:val="hybridMultilevel"/>
    <w:tmpl w:val="34BC59F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C053B0E"/>
    <w:multiLevelType w:val="hybridMultilevel"/>
    <w:tmpl w:val="6E7CE47A"/>
    <w:lvl w:ilvl="0" w:tplc="79F4201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3CA119D4"/>
    <w:multiLevelType w:val="hybridMultilevel"/>
    <w:tmpl w:val="F9A84C24"/>
    <w:lvl w:ilvl="0" w:tplc="8700A9A0">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7BE5BDD"/>
    <w:multiLevelType w:val="hybridMultilevel"/>
    <w:tmpl w:val="7F4ABD38"/>
    <w:lvl w:ilvl="0" w:tplc="687A90F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9CE1ED4"/>
    <w:multiLevelType w:val="hybridMultilevel"/>
    <w:tmpl w:val="1552599A"/>
    <w:lvl w:ilvl="0" w:tplc="0C090011">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E9"/>
    <w:rsid w:val="00007743"/>
    <w:rsid w:val="00010276"/>
    <w:rsid w:val="0001573A"/>
    <w:rsid w:val="0002039D"/>
    <w:rsid w:val="0002246C"/>
    <w:rsid w:val="00023A99"/>
    <w:rsid w:val="0004189A"/>
    <w:rsid w:val="00051382"/>
    <w:rsid w:val="00051AC2"/>
    <w:rsid w:val="0007343C"/>
    <w:rsid w:val="00076EA3"/>
    <w:rsid w:val="0008124D"/>
    <w:rsid w:val="000B3151"/>
    <w:rsid w:val="000C1DE8"/>
    <w:rsid w:val="000E70B6"/>
    <w:rsid w:val="00110F6A"/>
    <w:rsid w:val="00123CDB"/>
    <w:rsid w:val="00135FA6"/>
    <w:rsid w:val="001747F3"/>
    <w:rsid w:val="001837E9"/>
    <w:rsid w:val="001866CB"/>
    <w:rsid w:val="001B34B6"/>
    <w:rsid w:val="001D43FB"/>
    <w:rsid w:val="001D4EE3"/>
    <w:rsid w:val="001F167A"/>
    <w:rsid w:val="00201A3B"/>
    <w:rsid w:val="00204BBB"/>
    <w:rsid w:val="00216128"/>
    <w:rsid w:val="00233095"/>
    <w:rsid w:val="00245179"/>
    <w:rsid w:val="002543A3"/>
    <w:rsid w:val="0026387D"/>
    <w:rsid w:val="00266AF8"/>
    <w:rsid w:val="00267C6E"/>
    <w:rsid w:val="00291BAE"/>
    <w:rsid w:val="002A0DE5"/>
    <w:rsid w:val="002D2FA4"/>
    <w:rsid w:val="002D67FA"/>
    <w:rsid w:val="00333C54"/>
    <w:rsid w:val="00335476"/>
    <w:rsid w:val="00337142"/>
    <w:rsid w:val="0035011F"/>
    <w:rsid w:val="003A00DA"/>
    <w:rsid w:val="003A5A08"/>
    <w:rsid w:val="003E04CC"/>
    <w:rsid w:val="003F400B"/>
    <w:rsid w:val="00415357"/>
    <w:rsid w:val="0042415F"/>
    <w:rsid w:val="00453A30"/>
    <w:rsid w:val="00467F1F"/>
    <w:rsid w:val="004762DD"/>
    <w:rsid w:val="004823F2"/>
    <w:rsid w:val="00484EB7"/>
    <w:rsid w:val="00485747"/>
    <w:rsid w:val="004B4888"/>
    <w:rsid w:val="004D1C41"/>
    <w:rsid w:val="004D605B"/>
    <w:rsid w:val="0053092A"/>
    <w:rsid w:val="005350E3"/>
    <w:rsid w:val="00544D43"/>
    <w:rsid w:val="00555D93"/>
    <w:rsid w:val="00575ACE"/>
    <w:rsid w:val="005D37BF"/>
    <w:rsid w:val="005E072F"/>
    <w:rsid w:val="005E0DCD"/>
    <w:rsid w:val="005F0D6D"/>
    <w:rsid w:val="0060571B"/>
    <w:rsid w:val="00606587"/>
    <w:rsid w:val="0063354D"/>
    <w:rsid w:val="00634021"/>
    <w:rsid w:val="00634CF4"/>
    <w:rsid w:val="0064329C"/>
    <w:rsid w:val="0066601D"/>
    <w:rsid w:val="0069281A"/>
    <w:rsid w:val="00692A9D"/>
    <w:rsid w:val="00694233"/>
    <w:rsid w:val="006A784D"/>
    <w:rsid w:val="006D2230"/>
    <w:rsid w:val="006D6062"/>
    <w:rsid w:val="006F1CF6"/>
    <w:rsid w:val="00710728"/>
    <w:rsid w:val="00727B9C"/>
    <w:rsid w:val="0075107F"/>
    <w:rsid w:val="007512DD"/>
    <w:rsid w:val="00757C1E"/>
    <w:rsid w:val="00761CF6"/>
    <w:rsid w:val="00777265"/>
    <w:rsid w:val="0078556B"/>
    <w:rsid w:val="007951C4"/>
    <w:rsid w:val="007A2B07"/>
    <w:rsid w:val="007A3740"/>
    <w:rsid w:val="007A48AB"/>
    <w:rsid w:val="007D073F"/>
    <w:rsid w:val="007D78D9"/>
    <w:rsid w:val="007F28EB"/>
    <w:rsid w:val="007F2F8E"/>
    <w:rsid w:val="007F7035"/>
    <w:rsid w:val="00800622"/>
    <w:rsid w:val="008079A0"/>
    <w:rsid w:val="0082740B"/>
    <w:rsid w:val="008617CC"/>
    <w:rsid w:val="008671B9"/>
    <w:rsid w:val="008756AD"/>
    <w:rsid w:val="008A0013"/>
    <w:rsid w:val="008A7A80"/>
    <w:rsid w:val="008C28E5"/>
    <w:rsid w:val="008E3BAF"/>
    <w:rsid w:val="008E6ED1"/>
    <w:rsid w:val="0091503E"/>
    <w:rsid w:val="00947D2F"/>
    <w:rsid w:val="00973759"/>
    <w:rsid w:val="0098599A"/>
    <w:rsid w:val="00997FF0"/>
    <w:rsid w:val="009A2E11"/>
    <w:rsid w:val="009B1EEB"/>
    <w:rsid w:val="009B6901"/>
    <w:rsid w:val="009C1CF2"/>
    <w:rsid w:val="009D5BDA"/>
    <w:rsid w:val="009E5B54"/>
    <w:rsid w:val="00A12312"/>
    <w:rsid w:val="00A372C1"/>
    <w:rsid w:val="00A4297F"/>
    <w:rsid w:val="00A609A3"/>
    <w:rsid w:val="00A640DE"/>
    <w:rsid w:val="00AB783C"/>
    <w:rsid w:val="00AC3558"/>
    <w:rsid w:val="00AF1884"/>
    <w:rsid w:val="00B3515C"/>
    <w:rsid w:val="00B369C8"/>
    <w:rsid w:val="00B53E73"/>
    <w:rsid w:val="00B616E4"/>
    <w:rsid w:val="00B64149"/>
    <w:rsid w:val="00B826EA"/>
    <w:rsid w:val="00B83AD9"/>
    <w:rsid w:val="00BB426A"/>
    <w:rsid w:val="00BC7C06"/>
    <w:rsid w:val="00BD5817"/>
    <w:rsid w:val="00BF38AD"/>
    <w:rsid w:val="00C11897"/>
    <w:rsid w:val="00C22CA5"/>
    <w:rsid w:val="00C233A6"/>
    <w:rsid w:val="00C300AA"/>
    <w:rsid w:val="00C475BE"/>
    <w:rsid w:val="00C77056"/>
    <w:rsid w:val="00C77092"/>
    <w:rsid w:val="00C846F3"/>
    <w:rsid w:val="00CB5C4F"/>
    <w:rsid w:val="00CC3FFA"/>
    <w:rsid w:val="00CD14B0"/>
    <w:rsid w:val="00CF0870"/>
    <w:rsid w:val="00CF41B3"/>
    <w:rsid w:val="00D210F3"/>
    <w:rsid w:val="00D2130D"/>
    <w:rsid w:val="00D32D29"/>
    <w:rsid w:val="00D63CA5"/>
    <w:rsid w:val="00D70C17"/>
    <w:rsid w:val="00D81C89"/>
    <w:rsid w:val="00D8742B"/>
    <w:rsid w:val="00D94036"/>
    <w:rsid w:val="00D94B58"/>
    <w:rsid w:val="00DD6405"/>
    <w:rsid w:val="00DF657C"/>
    <w:rsid w:val="00E013B5"/>
    <w:rsid w:val="00E02114"/>
    <w:rsid w:val="00E149EE"/>
    <w:rsid w:val="00E21C56"/>
    <w:rsid w:val="00E369D4"/>
    <w:rsid w:val="00E425DD"/>
    <w:rsid w:val="00E61ACC"/>
    <w:rsid w:val="00E7113D"/>
    <w:rsid w:val="00E94692"/>
    <w:rsid w:val="00EA50BD"/>
    <w:rsid w:val="00EB607D"/>
    <w:rsid w:val="00EB6DD3"/>
    <w:rsid w:val="00F0095D"/>
    <w:rsid w:val="00F12733"/>
    <w:rsid w:val="00F13B1F"/>
    <w:rsid w:val="00F618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7E9"/>
    <w:pPr>
      <w:spacing w:after="160" w:line="259"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694233"/>
    <w:pPr>
      <w:keepNext/>
      <w:spacing w:before="240" w:after="60" w:line="240" w:lineRule="auto"/>
      <w:outlineLvl w:val="0"/>
    </w:pPr>
    <w:rPr>
      <w:rFonts w:ascii="Arial" w:eastAsiaTheme="majorEastAsia" w:hAnsi="Arial" w:cs="Times New Roman"/>
      <w:b/>
      <w:bCs/>
      <w:kern w:val="32"/>
      <w:sz w:val="32"/>
      <w:szCs w:val="32"/>
    </w:rPr>
  </w:style>
  <w:style w:type="paragraph" w:styleId="Heading2">
    <w:name w:val="heading 2"/>
    <w:basedOn w:val="Normal"/>
    <w:next w:val="Normal"/>
    <w:link w:val="Heading2Char"/>
    <w:uiPriority w:val="9"/>
    <w:unhideWhenUsed/>
    <w:qFormat/>
    <w:rsid w:val="00694233"/>
    <w:pPr>
      <w:keepNext/>
      <w:spacing w:before="240" w:after="60" w:line="240" w:lineRule="auto"/>
      <w:outlineLvl w:val="1"/>
    </w:pPr>
    <w:rPr>
      <w:rFonts w:ascii="Arial" w:eastAsiaTheme="majorEastAsia" w:hAnsi="Arial" w:cs="Times New Roman"/>
      <w:b/>
      <w:bCs/>
      <w:iCs/>
      <w:sz w:val="28"/>
      <w:szCs w:val="28"/>
    </w:rPr>
  </w:style>
  <w:style w:type="paragraph" w:styleId="Heading3">
    <w:name w:val="heading 3"/>
    <w:basedOn w:val="Normal"/>
    <w:next w:val="Normal"/>
    <w:link w:val="Heading3Char"/>
    <w:uiPriority w:val="9"/>
    <w:unhideWhenUsed/>
    <w:qFormat/>
    <w:rsid w:val="0078556B"/>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line="240" w:lineRule="auto"/>
      <w:outlineLvl w:val="3"/>
    </w:pPr>
    <w:rPr>
      <w:rFonts w:ascii="Arial" w:hAnsi="Arial" w:cs="Times New Roman"/>
      <w:b/>
      <w:bCs/>
      <w:sz w:val="28"/>
      <w:szCs w:val="28"/>
    </w:rPr>
  </w:style>
  <w:style w:type="paragraph" w:styleId="Heading5">
    <w:name w:val="heading 5"/>
    <w:basedOn w:val="Normal"/>
    <w:next w:val="Normal"/>
    <w:link w:val="Heading5Char"/>
    <w:uiPriority w:val="9"/>
    <w:semiHidden/>
    <w:unhideWhenUsed/>
    <w:qFormat/>
    <w:rsid w:val="0078556B"/>
    <w:pPr>
      <w:spacing w:before="240" w:after="60" w:line="240" w:lineRule="auto"/>
      <w:outlineLvl w:val="4"/>
    </w:pPr>
    <w:rPr>
      <w:rFonts w:ascii="Arial" w:hAnsi="Arial" w:cs="Times New Roman"/>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line="240" w:lineRule="auto"/>
      <w:outlineLvl w:val="5"/>
    </w:pPr>
    <w:rPr>
      <w:rFonts w:ascii="Arial" w:hAnsi="Arial" w:cs="Times New Roman"/>
      <w:b/>
      <w:bCs/>
    </w:rPr>
  </w:style>
  <w:style w:type="paragraph" w:styleId="Heading7">
    <w:name w:val="heading 7"/>
    <w:basedOn w:val="Normal"/>
    <w:next w:val="Normal"/>
    <w:link w:val="Heading7Char"/>
    <w:uiPriority w:val="9"/>
    <w:semiHidden/>
    <w:unhideWhenUsed/>
    <w:qFormat/>
    <w:rsid w:val="0078556B"/>
    <w:pPr>
      <w:spacing w:before="240" w:after="60" w:line="240" w:lineRule="auto"/>
      <w:outlineLvl w:val="6"/>
    </w:pPr>
    <w:rPr>
      <w:rFonts w:ascii="Arial" w:hAnsi="Arial" w:cs="Times New Roman"/>
      <w:sz w:val="24"/>
      <w:szCs w:val="24"/>
    </w:rPr>
  </w:style>
  <w:style w:type="paragraph" w:styleId="Heading8">
    <w:name w:val="heading 8"/>
    <w:basedOn w:val="Normal"/>
    <w:next w:val="Normal"/>
    <w:link w:val="Heading8Char"/>
    <w:uiPriority w:val="9"/>
    <w:semiHidden/>
    <w:unhideWhenUsed/>
    <w:qFormat/>
    <w:rsid w:val="0078556B"/>
    <w:pPr>
      <w:spacing w:before="240" w:after="60" w:line="240" w:lineRule="auto"/>
      <w:outlineLvl w:val="7"/>
    </w:pPr>
    <w:rPr>
      <w:rFonts w:ascii="Arial" w:hAnsi="Arial" w:cs="Times New Roman"/>
      <w:i/>
      <w:iCs/>
      <w:sz w:val="24"/>
      <w:szCs w:val="24"/>
    </w:rPr>
  </w:style>
  <w:style w:type="paragraph" w:styleId="Heading9">
    <w:name w:val="heading 9"/>
    <w:basedOn w:val="Normal"/>
    <w:next w:val="Normal"/>
    <w:link w:val="Heading9Char"/>
    <w:uiPriority w:val="9"/>
    <w:semiHidden/>
    <w:unhideWhenUsed/>
    <w:qFormat/>
    <w:rsid w:val="0078556B"/>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233"/>
    <w:rPr>
      <w:rFonts w:eastAsiaTheme="majorEastAsia"/>
      <w:b/>
      <w:bCs/>
      <w:kern w:val="32"/>
      <w:sz w:val="32"/>
      <w:szCs w:val="32"/>
    </w:rPr>
  </w:style>
  <w:style w:type="character" w:customStyle="1" w:styleId="Heading2Char">
    <w:name w:val="Heading 2 Char"/>
    <w:basedOn w:val="DefaultParagraphFont"/>
    <w:link w:val="Heading2"/>
    <w:uiPriority w:val="9"/>
    <w:rsid w:val="00694233"/>
    <w:rPr>
      <w:rFonts w:eastAsiaTheme="majorEastAsia"/>
      <w:b/>
      <w:bCs/>
      <w:iCs/>
      <w:sz w:val="28"/>
      <w:szCs w:val="28"/>
    </w:rPr>
  </w:style>
  <w:style w:type="character" w:customStyle="1" w:styleId="Heading3Char">
    <w:name w:val="Heading 3 Char"/>
    <w:basedOn w:val="DefaultParagraphFont"/>
    <w:link w:val="Heading3"/>
    <w:uiPriority w:val="9"/>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pPr>
      <w:spacing w:after="0" w:line="240" w:lineRule="auto"/>
    </w:pPr>
    <w:rPr>
      <w:rFonts w:ascii="Arial" w:hAnsi="Arial" w:cs="Times New Roman"/>
      <w:sz w:val="24"/>
      <w:szCs w:val="32"/>
    </w:rPr>
  </w:style>
  <w:style w:type="paragraph" w:styleId="ListParagraph">
    <w:name w:val="List Paragraph"/>
    <w:basedOn w:val="Normal"/>
    <w:uiPriority w:val="34"/>
    <w:qFormat/>
    <w:rsid w:val="003E04CC"/>
    <w:pPr>
      <w:spacing w:before="100" w:beforeAutospacing="1" w:after="0" w:line="240" w:lineRule="auto"/>
      <w:ind w:left="357" w:hanging="357"/>
      <w:contextualSpacing/>
    </w:pPr>
    <w:rPr>
      <w:rFonts w:ascii="Arial" w:hAnsi="Arial" w:cs="Times New Roman"/>
      <w:sz w:val="24"/>
      <w:szCs w:val="24"/>
    </w:rPr>
  </w:style>
  <w:style w:type="paragraph" w:styleId="Quote">
    <w:name w:val="Quote"/>
    <w:basedOn w:val="Normal"/>
    <w:next w:val="Normal"/>
    <w:link w:val="QuoteChar"/>
    <w:uiPriority w:val="29"/>
    <w:qFormat/>
    <w:rsid w:val="0078556B"/>
    <w:pPr>
      <w:spacing w:after="0" w:line="240" w:lineRule="auto"/>
    </w:pPr>
    <w:rPr>
      <w:rFonts w:ascii="Arial" w:hAnsi="Arial" w:cs="Times New Roman"/>
      <w:i/>
      <w:sz w:val="24"/>
      <w:szCs w:val="24"/>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spacing w:after="0" w:line="240" w:lineRule="auto"/>
      <w:ind w:left="720" w:right="720"/>
    </w:pPr>
    <w:rPr>
      <w:rFonts w:ascii="Arial" w:hAnsi="Arial" w:cs="Times New Roman"/>
      <w:b/>
      <w:i/>
      <w:sz w:val="24"/>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1837E9"/>
    <w:pPr>
      <w:tabs>
        <w:tab w:val="center" w:pos="4680"/>
        <w:tab w:val="right" w:pos="9360"/>
      </w:tabs>
      <w:spacing w:after="0" w:line="240" w:lineRule="auto"/>
    </w:pPr>
    <w:rPr>
      <w:rFonts w:ascii="Arial" w:hAnsi="Arial" w:cs="Times New Roman"/>
      <w:sz w:val="24"/>
      <w:szCs w:val="24"/>
    </w:rPr>
  </w:style>
  <w:style w:type="character" w:customStyle="1" w:styleId="HeaderChar">
    <w:name w:val="Header Char"/>
    <w:basedOn w:val="DefaultParagraphFont"/>
    <w:link w:val="Header"/>
    <w:uiPriority w:val="99"/>
    <w:rsid w:val="001837E9"/>
  </w:style>
  <w:style w:type="paragraph" w:styleId="Footer">
    <w:name w:val="footer"/>
    <w:basedOn w:val="Normal"/>
    <w:link w:val="FooterChar"/>
    <w:uiPriority w:val="99"/>
    <w:unhideWhenUsed/>
    <w:rsid w:val="001837E9"/>
    <w:pPr>
      <w:tabs>
        <w:tab w:val="center" w:pos="4680"/>
        <w:tab w:val="right" w:pos="9360"/>
      </w:tabs>
      <w:spacing w:after="0" w:line="240" w:lineRule="auto"/>
    </w:pPr>
    <w:rPr>
      <w:rFonts w:ascii="Arial" w:hAnsi="Arial" w:cs="Times New Roman"/>
      <w:sz w:val="24"/>
      <w:szCs w:val="24"/>
    </w:rPr>
  </w:style>
  <w:style w:type="character" w:customStyle="1" w:styleId="FooterChar">
    <w:name w:val="Footer Char"/>
    <w:basedOn w:val="DefaultParagraphFont"/>
    <w:link w:val="Footer"/>
    <w:uiPriority w:val="99"/>
    <w:rsid w:val="00183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7E9"/>
    <w:pPr>
      <w:spacing w:after="160" w:line="259"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694233"/>
    <w:pPr>
      <w:keepNext/>
      <w:spacing w:before="240" w:after="60" w:line="240" w:lineRule="auto"/>
      <w:outlineLvl w:val="0"/>
    </w:pPr>
    <w:rPr>
      <w:rFonts w:ascii="Arial" w:eastAsiaTheme="majorEastAsia" w:hAnsi="Arial" w:cs="Times New Roman"/>
      <w:b/>
      <w:bCs/>
      <w:kern w:val="32"/>
      <w:sz w:val="32"/>
      <w:szCs w:val="32"/>
    </w:rPr>
  </w:style>
  <w:style w:type="paragraph" w:styleId="Heading2">
    <w:name w:val="heading 2"/>
    <w:basedOn w:val="Normal"/>
    <w:next w:val="Normal"/>
    <w:link w:val="Heading2Char"/>
    <w:uiPriority w:val="9"/>
    <w:unhideWhenUsed/>
    <w:qFormat/>
    <w:rsid w:val="00694233"/>
    <w:pPr>
      <w:keepNext/>
      <w:spacing w:before="240" w:after="60" w:line="240" w:lineRule="auto"/>
      <w:outlineLvl w:val="1"/>
    </w:pPr>
    <w:rPr>
      <w:rFonts w:ascii="Arial" w:eastAsiaTheme="majorEastAsia" w:hAnsi="Arial" w:cs="Times New Roman"/>
      <w:b/>
      <w:bCs/>
      <w:iCs/>
      <w:sz w:val="28"/>
      <w:szCs w:val="28"/>
    </w:rPr>
  </w:style>
  <w:style w:type="paragraph" w:styleId="Heading3">
    <w:name w:val="heading 3"/>
    <w:basedOn w:val="Normal"/>
    <w:next w:val="Normal"/>
    <w:link w:val="Heading3Char"/>
    <w:uiPriority w:val="9"/>
    <w:unhideWhenUsed/>
    <w:qFormat/>
    <w:rsid w:val="0078556B"/>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line="240" w:lineRule="auto"/>
      <w:outlineLvl w:val="3"/>
    </w:pPr>
    <w:rPr>
      <w:rFonts w:ascii="Arial" w:hAnsi="Arial" w:cs="Times New Roman"/>
      <w:b/>
      <w:bCs/>
      <w:sz w:val="28"/>
      <w:szCs w:val="28"/>
    </w:rPr>
  </w:style>
  <w:style w:type="paragraph" w:styleId="Heading5">
    <w:name w:val="heading 5"/>
    <w:basedOn w:val="Normal"/>
    <w:next w:val="Normal"/>
    <w:link w:val="Heading5Char"/>
    <w:uiPriority w:val="9"/>
    <w:semiHidden/>
    <w:unhideWhenUsed/>
    <w:qFormat/>
    <w:rsid w:val="0078556B"/>
    <w:pPr>
      <w:spacing w:before="240" w:after="60" w:line="240" w:lineRule="auto"/>
      <w:outlineLvl w:val="4"/>
    </w:pPr>
    <w:rPr>
      <w:rFonts w:ascii="Arial" w:hAnsi="Arial" w:cs="Times New Roman"/>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line="240" w:lineRule="auto"/>
      <w:outlineLvl w:val="5"/>
    </w:pPr>
    <w:rPr>
      <w:rFonts w:ascii="Arial" w:hAnsi="Arial" w:cs="Times New Roman"/>
      <w:b/>
      <w:bCs/>
    </w:rPr>
  </w:style>
  <w:style w:type="paragraph" w:styleId="Heading7">
    <w:name w:val="heading 7"/>
    <w:basedOn w:val="Normal"/>
    <w:next w:val="Normal"/>
    <w:link w:val="Heading7Char"/>
    <w:uiPriority w:val="9"/>
    <w:semiHidden/>
    <w:unhideWhenUsed/>
    <w:qFormat/>
    <w:rsid w:val="0078556B"/>
    <w:pPr>
      <w:spacing w:before="240" w:after="60" w:line="240" w:lineRule="auto"/>
      <w:outlineLvl w:val="6"/>
    </w:pPr>
    <w:rPr>
      <w:rFonts w:ascii="Arial" w:hAnsi="Arial" w:cs="Times New Roman"/>
      <w:sz w:val="24"/>
      <w:szCs w:val="24"/>
    </w:rPr>
  </w:style>
  <w:style w:type="paragraph" w:styleId="Heading8">
    <w:name w:val="heading 8"/>
    <w:basedOn w:val="Normal"/>
    <w:next w:val="Normal"/>
    <w:link w:val="Heading8Char"/>
    <w:uiPriority w:val="9"/>
    <w:semiHidden/>
    <w:unhideWhenUsed/>
    <w:qFormat/>
    <w:rsid w:val="0078556B"/>
    <w:pPr>
      <w:spacing w:before="240" w:after="60" w:line="240" w:lineRule="auto"/>
      <w:outlineLvl w:val="7"/>
    </w:pPr>
    <w:rPr>
      <w:rFonts w:ascii="Arial" w:hAnsi="Arial" w:cs="Times New Roman"/>
      <w:i/>
      <w:iCs/>
      <w:sz w:val="24"/>
      <w:szCs w:val="24"/>
    </w:rPr>
  </w:style>
  <w:style w:type="paragraph" w:styleId="Heading9">
    <w:name w:val="heading 9"/>
    <w:basedOn w:val="Normal"/>
    <w:next w:val="Normal"/>
    <w:link w:val="Heading9Char"/>
    <w:uiPriority w:val="9"/>
    <w:semiHidden/>
    <w:unhideWhenUsed/>
    <w:qFormat/>
    <w:rsid w:val="0078556B"/>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233"/>
    <w:rPr>
      <w:rFonts w:eastAsiaTheme="majorEastAsia"/>
      <w:b/>
      <w:bCs/>
      <w:kern w:val="32"/>
      <w:sz w:val="32"/>
      <w:szCs w:val="32"/>
    </w:rPr>
  </w:style>
  <w:style w:type="character" w:customStyle="1" w:styleId="Heading2Char">
    <w:name w:val="Heading 2 Char"/>
    <w:basedOn w:val="DefaultParagraphFont"/>
    <w:link w:val="Heading2"/>
    <w:uiPriority w:val="9"/>
    <w:rsid w:val="00694233"/>
    <w:rPr>
      <w:rFonts w:eastAsiaTheme="majorEastAsia"/>
      <w:b/>
      <w:bCs/>
      <w:iCs/>
      <w:sz w:val="28"/>
      <w:szCs w:val="28"/>
    </w:rPr>
  </w:style>
  <w:style w:type="character" w:customStyle="1" w:styleId="Heading3Char">
    <w:name w:val="Heading 3 Char"/>
    <w:basedOn w:val="DefaultParagraphFont"/>
    <w:link w:val="Heading3"/>
    <w:uiPriority w:val="9"/>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pPr>
      <w:spacing w:after="0" w:line="240" w:lineRule="auto"/>
    </w:pPr>
    <w:rPr>
      <w:rFonts w:ascii="Arial" w:hAnsi="Arial" w:cs="Times New Roman"/>
      <w:sz w:val="24"/>
      <w:szCs w:val="32"/>
    </w:rPr>
  </w:style>
  <w:style w:type="paragraph" w:styleId="ListParagraph">
    <w:name w:val="List Paragraph"/>
    <w:basedOn w:val="Normal"/>
    <w:uiPriority w:val="34"/>
    <w:qFormat/>
    <w:rsid w:val="003E04CC"/>
    <w:pPr>
      <w:spacing w:before="100" w:beforeAutospacing="1" w:after="0" w:line="240" w:lineRule="auto"/>
      <w:ind w:left="357" w:hanging="357"/>
      <w:contextualSpacing/>
    </w:pPr>
    <w:rPr>
      <w:rFonts w:ascii="Arial" w:hAnsi="Arial" w:cs="Times New Roman"/>
      <w:sz w:val="24"/>
      <w:szCs w:val="24"/>
    </w:rPr>
  </w:style>
  <w:style w:type="paragraph" w:styleId="Quote">
    <w:name w:val="Quote"/>
    <w:basedOn w:val="Normal"/>
    <w:next w:val="Normal"/>
    <w:link w:val="QuoteChar"/>
    <w:uiPriority w:val="29"/>
    <w:qFormat/>
    <w:rsid w:val="0078556B"/>
    <w:pPr>
      <w:spacing w:after="0" w:line="240" w:lineRule="auto"/>
    </w:pPr>
    <w:rPr>
      <w:rFonts w:ascii="Arial" w:hAnsi="Arial" w:cs="Times New Roman"/>
      <w:i/>
      <w:sz w:val="24"/>
      <w:szCs w:val="24"/>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spacing w:after="0" w:line="240" w:lineRule="auto"/>
      <w:ind w:left="720" w:right="720"/>
    </w:pPr>
    <w:rPr>
      <w:rFonts w:ascii="Arial" w:hAnsi="Arial" w:cs="Times New Roman"/>
      <w:b/>
      <w:i/>
      <w:sz w:val="24"/>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1837E9"/>
    <w:pPr>
      <w:tabs>
        <w:tab w:val="center" w:pos="4680"/>
        <w:tab w:val="right" w:pos="9360"/>
      </w:tabs>
      <w:spacing w:after="0" w:line="240" w:lineRule="auto"/>
    </w:pPr>
    <w:rPr>
      <w:rFonts w:ascii="Arial" w:hAnsi="Arial" w:cs="Times New Roman"/>
      <w:sz w:val="24"/>
      <w:szCs w:val="24"/>
    </w:rPr>
  </w:style>
  <w:style w:type="character" w:customStyle="1" w:styleId="HeaderChar">
    <w:name w:val="Header Char"/>
    <w:basedOn w:val="DefaultParagraphFont"/>
    <w:link w:val="Header"/>
    <w:uiPriority w:val="99"/>
    <w:rsid w:val="001837E9"/>
  </w:style>
  <w:style w:type="paragraph" w:styleId="Footer">
    <w:name w:val="footer"/>
    <w:basedOn w:val="Normal"/>
    <w:link w:val="FooterChar"/>
    <w:uiPriority w:val="99"/>
    <w:unhideWhenUsed/>
    <w:rsid w:val="001837E9"/>
    <w:pPr>
      <w:tabs>
        <w:tab w:val="center" w:pos="4680"/>
        <w:tab w:val="right" w:pos="9360"/>
      </w:tabs>
      <w:spacing w:after="0" w:line="240" w:lineRule="auto"/>
    </w:pPr>
    <w:rPr>
      <w:rFonts w:ascii="Arial" w:hAnsi="Arial" w:cs="Times New Roman"/>
      <w:sz w:val="24"/>
      <w:szCs w:val="24"/>
    </w:rPr>
  </w:style>
  <w:style w:type="character" w:customStyle="1" w:styleId="FooterChar">
    <w:name w:val="Footer Char"/>
    <w:basedOn w:val="DefaultParagraphFont"/>
    <w:link w:val="Footer"/>
    <w:uiPriority w:val="99"/>
    <w:rsid w:val="00183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3356</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Maguire</dc:creator>
  <cp:lastModifiedBy>Kate Begley</cp:lastModifiedBy>
  <cp:revision>2</cp:revision>
  <dcterms:created xsi:type="dcterms:W3CDTF">2016-02-12T03:45:00Z</dcterms:created>
  <dcterms:modified xsi:type="dcterms:W3CDTF">2016-02-12T03:45:00Z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